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黑体_GBK" w:cs="Times New Roman"/>
          <w:b w:val="0"/>
          <w:i w:val="0"/>
          <w:color w:val="000000"/>
          <w:sz w:val="32"/>
          <w:szCs w:val="32"/>
          <w:highlight w:val="none"/>
          <w:lang w:val="en-US" w:eastAsia="zh-CN"/>
        </w:rPr>
      </w:pPr>
      <w:bookmarkStart w:id="0" w:name="_GoBack"/>
      <w:r>
        <w:rPr>
          <w:rFonts w:hint="default" w:ascii="Times New Roman" w:hAnsi="Times New Roman" w:eastAsia="方正黑体_GBK" w:cs="Times New Roman"/>
          <w:b w:val="0"/>
          <w:i w:val="0"/>
          <w:color w:val="000000"/>
          <w:sz w:val="32"/>
          <w:szCs w:val="32"/>
          <w:highlight w:val="none"/>
          <w:lang w:val="en-US" w:eastAsia="zh-CN"/>
        </w:rPr>
        <w:t>附件3</w:t>
      </w:r>
    </w:p>
    <w:p>
      <w:pPr>
        <w:keepNext w:val="0"/>
        <w:keepLines w:val="0"/>
        <w:pageBreakBefore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方正小标宋_GBK" w:cs="Times New Roman"/>
          <w:b/>
          <w:bCs/>
          <w:color w:val="000000"/>
          <w:kern w:val="0"/>
          <w:sz w:val="36"/>
          <w:szCs w:val="36"/>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b w:val="0"/>
          <w:i w:val="0"/>
          <w:color w:val="000000"/>
          <w:sz w:val="44"/>
          <w:szCs w:val="44"/>
          <w:highlight w:val="none"/>
        </w:rPr>
      </w:pPr>
      <w:r>
        <w:rPr>
          <w:rFonts w:hint="default" w:ascii="Times New Roman" w:hAnsi="Times New Roman" w:eastAsia="方正小标宋_GBK" w:cs="Times New Roman"/>
          <w:b w:val="0"/>
          <w:i w:val="0"/>
          <w:color w:val="000000"/>
          <w:sz w:val="44"/>
          <w:szCs w:val="44"/>
          <w:highlight w:val="none"/>
        </w:rPr>
        <w:t>开放型区域产教融合实践中心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b w:val="0"/>
          <w:i w:val="0"/>
          <w:color w:val="000000"/>
          <w:sz w:val="44"/>
          <w:szCs w:val="44"/>
          <w:highlight w:val="none"/>
          <w:lang w:val="en-US" w:eastAsia="zh-CN"/>
        </w:rPr>
      </w:pPr>
      <w:r>
        <w:rPr>
          <w:rFonts w:hint="default" w:ascii="Times New Roman" w:hAnsi="Times New Roman" w:eastAsia="方正小标宋_GBK" w:cs="Times New Roman"/>
          <w:b w:val="0"/>
          <w:i w:val="0"/>
          <w:color w:val="000000"/>
          <w:sz w:val="44"/>
          <w:szCs w:val="44"/>
          <w:highlight w:val="none"/>
          <w:lang w:val="en-US" w:eastAsia="zh-CN"/>
        </w:rPr>
        <w:t>建设指南</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b w:val="0"/>
          <w:i w:val="0"/>
          <w:color w:val="000000"/>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开放型区域产教融合实践中心是对标产业发展前沿，集实践教学、社会培训、真实生产和技术服务功能为一体的实践中心，更加强调产教融合参与主体的多元化和包容性，更加重视参与过程的共建性和成果的共享性，也更能凸显产教融合的产业供求匹配属性和有效发挥服务区域经济社会发展的功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一、建设目标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市各校要面向国家重大战略和区域经济发展，对标产业发展前沿，建设一批集实践教学、社会培训、真实生产和技术服务功能为一体的学校实践中心、企业实践中心和公共实践中心（以下简称实践中心）。实践中心要积极协调各类资源，加强经费和人员投入，围绕企业生产经营过程中的关键问题开展协同创新，聚焦行业紧缺高技能人才开展联合培养，产出一批支撑区域产业和经济社会高质量发展的突出成果。到 2025年，全省计划建成20个左右省级实践中心，带动各市建设一批市级实践中心，并遴选一批推荐至国家进行建设培育，全面提升职业教育的实践教学质量和服务能力</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二、建设单位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开放型区域产教融合实践中心（以下简称实践中心）分为学校实践中心、公共实践中心、企业实践中心。学校实践中心的建设单位一般为职业学校（含中职学校、高职专科学校和本科层次职业学校，下同）。公共实践中心的建设单位一般为各级政府行政部门。企业实践中心的建设单位一般为企业。</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黑体_GBK" w:cs="Times New Roman"/>
          <w:kern w:val="2"/>
          <w:sz w:val="32"/>
          <w:szCs w:val="24"/>
          <w:highlight w:val="none"/>
          <w:lang w:val="en-US" w:eastAsia="zh-CN" w:bidi="ar-SA"/>
        </w:rPr>
      </w:pPr>
      <w:r>
        <w:rPr>
          <w:rFonts w:hint="default" w:ascii="Times New Roman" w:hAnsi="Times New Roman" w:eastAsia="方正黑体_GBK" w:cs="Times New Roman"/>
          <w:kern w:val="2"/>
          <w:sz w:val="32"/>
          <w:szCs w:val="24"/>
          <w:highlight w:val="none"/>
          <w:lang w:val="en-US" w:eastAsia="zh-CN" w:bidi="ar-SA"/>
        </w:rPr>
        <w:t>三、基础条件</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（一）聚焦重点领域。实践中心要对接国家战略新兴产业和区域支柱产业，服务产业应纳入“十四五”地方国民经济和社会发展规划重点领域。</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二）建设基础良好。实践中心应具有良好的基础条件，占地面积、建筑面积、设备数量、实训工位应满足使用要求；专业技术人员、管理人员数量充足、结构合理；开放运营经验丰富；相关工艺、材料、设备具有先进性。</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三）运行管理规范。建设单位能为实践中心的管理运营、设备维护更新、基础耗材等提供必要的经费和人员投入。实践中心管理机构和制度健全，建立了成本分担机制，能充分调动各类主体参与的积极性，保障可持续发展。</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kern w:val="2"/>
          <w:sz w:val="32"/>
          <w:szCs w:val="24"/>
          <w:highlight w:val="none"/>
          <w:lang w:val="en-US" w:eastAsia="zh-CN" w:bidi="ar-SA"/>
        </w:rPr>
      </w:pPr>
      <w:r>
        <w:rPr>
          <w:rFonts w:hint="default" w:ascii="Times New Roman" w:hAnsi="Times New Roman" w:eastAsia="方正仿宋_GBK" w:cs="Times New Roman"/>
          <w:kern w:val="2"/>
          <w:sz w:val="32"/>
          <w:szCs w:val="24"/>
          <w:highlight w:val="none"/>
          <w:lang w:val="en-US" w:eastAsia="zh-CN" w:bidi="ar-SA"/>
        </w:rPr>
        <w:t>（四）提升产出效益。实践中心要持续加强在人才培养、社会培训、技术服务方面的功能建设，可支持校企围绕生产经营过程中的关键问题开展协同创新，聚焦行业紧缺高技能人才开展联合培养，可以产生支撑区域产业和经济社会高质量发展的突出成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四、重点任务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学生实习实训。实践中心要按照开放多元、协同运营的建设理念，有组织的面向职业学校学生、普通高校学生和未就业毕业生开展实习实训。要加强实习实训教学指导，按照办学特色和专业实际制订实习实训方案，开发实训课程和教材，将行业新技术、新工艺、新规范以及企业真实生产项目或典型生产案例引入实践教学过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社会培训。实践中心要持续提升培训供给能力，积极承接政府、行业、企业组织的职业技能培训。要紧贴市场需求开发培训项目，推动培训链和产业链有效对接。要加强职业技能培训标准化建设，及时对外发布培训标准和课程方案。各地要统筹经济效益和社会效益，加快建立实践中心市场化运营机制，增强实践中心“自我造血功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技术服务。实践中心要通过承担企业横向课题的方式，有组织的开展产品中试、工艺改进、技术研发等技术服务。要组织共同建设单位围绕国家和区域重点战略以及企业生产经营过程中的关键问题，聚焦基础工艺和技术应用等瓶颈短板，加大重要产品攻关力度，打通创新链和产业链精准对接“最后一公里”。</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五、运营机制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（一）实践中心能够吸引各类学校、行业、企业广泛参与，采用理事会、用户委员会等治理模式，形成共建共管的组织架构。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实践中心每年第一季度期间要完成实践中心年度开放运营计划（模板详见附件1）编制，发布实践中心培训及技术服务支持、企业培训及技术服务需求“两张清单”，严格按照运营计划做好对外开放和技术服务工作，每年12月15日前完成实践中心年度运营报告（模板详见附件2）编制，公开发布并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六、监测指标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（一）主要监测指标包括对外开展学生实习实训，实训课程和教材开发，面向企业开展培训，横向技术服务，科技成果奖项情况等。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（二）建设单位为中等职业学校的学校实践中心重点考核：实训课程和教材建设数，培训服务收入。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（三）建设单位为高等职业学校的学校实践中心重点考核：培训服务收入，开展横向企业技术服务收入，地市级以上科技成果奖项。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（四）公共实践中心和企业实践中心重点考核：对外开展学生实训总人数，实训课程和教材建设数。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Hans"/>
        </w:rPr>
      </w:pPr>
      <w:r>
        <w:rPr>
          <w:rFonts w:hint="default" w:ascii="Times New Roman" w:hAnsi="Times New Roman" w:eastAsia="方正黑体_GBK" w:cs="Times New Roman"/>
          <w:color w:val="000000"/>
          <w:sz w:val="32"/>
          <w:szCs w:val="32"/>
          <w:highlight w:val="none"/>
          <w:lang w:val="en-US" w:eastAsia="zh-CN"/>
        </w:rPr>
        <w:t>七</w:t>
      </w:r>
      <w:r>
        <w:rPr>
          <w:rFonts w:hint="default" w:ascii="Times New Roman" w:hAnsi="Times New Roman" w:eastAsia="方正黑体_GBK" w:cs="Times New Roman"/>
          <w:color w:val="000000"/>
          <w:sz w:val="32"/>
          <w:szCs w:val="32"/>
          <w:highlight w:val="none"/>
          <w:lang w:val="en-US" w:eastAsia="zh-Hans"/>
        </w:rPr>
        <w:t>、申报限额</w:t>
      </w:r>
    </w:p>
    <w:p>
      <w:pPr>
        <w:pStyle w:val="3"/>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eastAsia="方正仿宋_GBK" w:cs="Times New Roman"/>
          <w:sz w:val="32"/>
          <w:szCs w:val="32"/>
          <w:highlight w:val="none"/>
          <w:shd w:val="clear" w:color="auto" w:fill="FFFFFF"/>
        </w:rPr>
        <w:t>各</w:t>
      </w:r>
      <w:r>
        <w:rPr>
          <w:rFonts w:hint="default" w:ascii="Times New Roman" w:hAnsi="Times New Roman" w:eastAsia="方正仿宋_GBK" w:cs="Times New Roman"/>
          <w:sz w:val="32"/>
          <w:szCs w:val="32"/>
          <w:highlight w:val="none"/>
          <w:shd w:val="clear" w:color="auto" w:fill="FFFFFF"/>
          <w:lang w:eastAsia="zh-CN"/>
        </w:rPr>
        <w:t>市</w:t>
      </w:r>
      <w:r>
        <w:rPr>
          <w:rFonts w:hint="default" w:ascii="Times New Roman" w:hAnsi="Times New Roman" w:eastAsia="方正仿宋_GBK" w:cs="Times New Roman"/>
          <w:sz w:val="32"/>
          <w:szCs w:val="32"/>
          <w:highlight w:val="none"/>
          <w:shd w:val="clear" w:color="auto" w:fill="FFFFFF"/>
        </w:rPr>
        <w:t>教育行政部门</w:t>
      </w:r>
      <w:r>
        <w:rPr>
          <w:rFonts w:hint="default" w:ascii="Times New Roman" w:hAnsi="Times New Roman" w:eastAsia="方正仿宋_GBK" w:cs="Times New Roman"/>
          <w:sz w:val="32"/>
          <w:szCs w:val="32"/>
          <w:highlight w:val="none"/>
          <w:shd w:val="clear" w:color="auto" w:fill="FFFFFF"/>
          <w:lang w:val="en-US" w:eastAsia="zh-Hans"/>
        </w:rPr>
        <w:t>负责</w:t>
      </w:r>
      <w:r>
        <w:rPr>
          <w:rFonts w:hint="default" w:ascii="Times New Roman" w:hAnsi="Times New Roman" w:eastAsia="方正仿宋_GBK" w:cs="Times New Roman"/>
          <w:sz w:val="32"/>
          <w:szCs w:val="32"/>
          <w:highlight w:val="none"/>
          <w:shd w:val="clear" w:color="auto" w:fill="FFFFFF"/>
        </w:rPr>
        <w:t>本地区</w:t>
      </w:r>
      <w:r>
        <w:rPr>
          <w:rFonts w:hint="default" w:ascii="Times New Roman" w:hAnsi="Times New Roman" w:eastAsia="方正仿宋_GBK" w:cs="Times New Roman"/>
          <w:sz w:val="32"/>
          <w:szCs w:val="32"/>
          <w:highlight w:val="none"/>
          <w:shd w:val="clear" w:color="auto" w:fill="FFFFFF"/>
          <w:lang w:val="en-US" w:eastAsia="zh-Hans"/>
        </w:rPr>
        <w:t>中职学校实践中心</w:t>
      </w:r>
      <w:r>
        <w:rPr>
          <w:rFonts w:hint="default" w:ascii="Times New Roman" w:hAnsi="Times New Roman" w:eastAsia="方正仿宋_GBK" w:cs="Times New Roman"/>
          <w:sz w:val="32"/>
          <w:szCs w:val="32"/>
          <w:highlight w:val="none"/>
          <w:shd w:val="clear" w:color="auto" w:fill="FFFFFF"/>
          <w:lang w:val="en-US" w:eastAsia="zh-CN"/>
        </w:rPr>
        <w:t>、</w:t>
      </w:r>
      <w:r>
        <w:rPr>
          <w:rFonts w:hint="default" w:ascii="Times New Roman" w:hAnsi="Times New Roman" w:eastAsia="方正仿宋_GBK" w:cs="Times New Roman"/>
          <w:sz w:val="32"/>
          <w:szCs w:val="32"/>
          <w:highlight w:val="none"/>
          <w:shd w:val="clear" w:color="auto" w:fill="FFFFFF"/>
          <w:lang w:val="en-US" w:eastAsia="zh-Hans"/>
        </w:rPr>
        <w:t>公共实践中心</w:t>
      </w:r>
      <w:r>
        <w:rPr>
          <w:rFonts w:hint="default" w:ascii="Times New Roman" w:hAnsi="Times New Roman" w:eastAsia="方正仿宋_GBK" w:cs="Times New Roman"/>
          <w:sz w:val="32"/>
          <w:szCs w:val="32"/>
          <w:highlight w:val="none"/>
          <w:shd w:val="clear" w:color="auto" w:fill="FFFFFF"/>
          <w:lang w:val="en-US" w:eastAsia="zh-CN"/>
        </w:rPr>
        <w:t>和</w:t>
      </w:r>
      <w:r>
        <w:rPr>
          <w:rFonts w:hint="default" w:ascii="Times New Roman" w:hAnsi="Times New Roman" w:eastAsia="方正仿宋_GBK" w:cs="Times New Roman"/>
          <w:sz w:val="32"/>
          <w:szCs w:val="32"/>
          <w:highlight w:val="none"/>
          <w:shd w:val="clear" w:color="auto" w:fill="FFFFFF"/>
          <w:lang w:val="en-US" w:eastAsia="zh-Hans"/>
        </w:rPr>
        <w:t>企业实践中心</w:t>
      </w:r>
      <w:r>
        <w:rPr>
          <w:rFonts w:hint="default" w:ascii="Times New Roman" w:hAnsi="Times New Roman" w:eastAsia="方正仿宋_GBK" w:cs="Times New Roman"/>
          <w:sz w:val="32"/>
          <w:szCs w:val="32"/>
          <w:highlight w:val="none"/>
          <w:shd w:val="clear" w:color="auto" w:fill="FFFFFF"/>
          <w:lang w:val="en-US" w:eastAsia="zh-CN"/>
        </w:rPr>
        <w:t>的推荐申报工作</w:t>
      </w:r>
      <w:r>
        <w:rPr>
          <w:rFonts w:hint="default" w:ascii="Times New Roman" w:hAnsi="Times New Roman" w:eastAsia="方正仿宋_GBK" w:cs="Times New Roman"/>
          <w:color w:val="000000"/>
          <w:kern w:val="2"/>
          <w:sz w:val="32"/>
          <w:szCs w:val="32"/>
          <w:highlight w:val="none"/>
          <w:lang w:val="en-US" w:eastAsia="zh-CN" w:bidi="ar-SA"/>
        </w:rPr>
        <w:t>，</w:t>
      </w:r>
      <w:r>
        <w:rPr>
          <w:rFonts w:hint="default" w:ascii="Times New Roman" w:hAnsi="Times New Roman" w:eastAsia="方正仿宋_GBK" w:cs="Times New Roman"/>
          <w:color w:val="000000"/>
          <w:sz w:val="32"/>
          <w:szCs w:val="32"/>
          <w:highlight w:val="none"/>
          <w:lang w:val="en-US" w:eastAsia="zh-CN"/>
        </w:rPr>
        <w:t>原则上</w:t>
      </w:r>
      <w:r>
        <w:rPr>
          <w:rFonts w:hint="default" w:ascii="Times New Roman" w:hAnsi="Times New Roman" w:eastAsia="方正仿宋_GBK" w:cs="Times New Roman"/>
          <w:color w:val="000000"/>
          <w:sz w:val="32"/>
          <w:szCs w:val="32"/>
          <w:highlight w:val="none"/>
          <w:lang w:val="en-US" w:eastAsia="zh-Hans"/>
        </w:rPr>
        <w:t>各</w:t>
      </w:r>
      <w:r>
        <w:rPr>
          <w:rFonts w:hint="default" w:ascii="Times New Roman" w:hAnsi="Times New Roman" w:eastAsia="方正仿宋_GBK" w:cs="Times New Roman"/>
          <w:color w:val="000000"/>
          <w:sz w:val="32"/>
          <w:szCs w:val="32"/>
          <w:highlight w:val="none"/>
          <w:lang w:val="en-US" w:eastAsia="zh-CN"/>
        </w:rPr>
        <w:t>市教育</w:t>
      </w:r>
      <w:r>
        <w:rPr>
          <w:rFonts w:hint="default" w:ascii="Times New Roman" w:hAnsi="Times New Roman" w:eastAsia="方正仿宋_GBK" w:cs="Times New Roman"/>
          <w:sz w:val="32"/>
          <w:szCs w:val="32"/>
          <w:highlight w:val="none"/>
          <w:shd w:val="clear" w:color="auto" w:fill="FFFFFF"/>
          <w:lang w:val="en-US" w:eastAsia="zh-CN"/>
        </w:rPr>
        <w:t>行政部门推荐总数</w:t>
      </w:r>
      <w:r>
        <w:rPr>
          <w:rFonts w:hint="default" w:ascii="Times New Roman" w:hAnsi="Times New Roman" w:eastAsia="方正仿宋_GBK" w:cs="Times New Roman"/>
          <w:sz w:val="32"/>
          <w:szCs w:val="32"/>
          <w:highlight w:val="none"/>
          <w:shd w:val="clear" w:color="auto" w:fill="FFFFFF"/>
          <w:lang w:val="en-US" w:eastAsia="zh-Hans"/>
        </w:rPr>
        <w:t>不超过</w:t>
      </w:r>
      <w:r>
        <w:rPr>
          <w:rFonts w:hint="default" w:ascii="Times New Roman" w:hAnsi="Times New Roman" w:eastAsia="方正仿宋_GBK" w:cs="Times New Roman"/>
          <w:sz w:val="32"/>
          <w:szCs w:val="32"/>
          <w:highlight w:val="none"/>
          <w:shd w:val="clear" w:color="auto" w:fill="FFFFFF"/>
          <w:lang w:eastAsia="zh-Hans"/>
        </w:rPr>
        <w:t>3</w:t>
      </w:r>
      <w:r>
        <w:rPr>
          <w:rFonts w:hint="default" w:ascii="Times New Roman" w:hAnsi="Times New Roman" w:eastAsia="方正仿宋_GBK" w:cs="Times New Roman"/>
          <w:sz w:val="32"/>
          <w:szCs w:val="32"/>
          <w:highlight w:val="none"/>
          <w:shd w:val="clear" w:color="auto" w:fill="FFFFFF"/>
          <w:lang w:val="en-US" w:eastAsia="zh-Hans"/>
        </w:rPr>
        <w:t>项</w:t>
      </w:r>
      <w:r>
        <w:rPr>
          <w:rFonts w:hint="default" w:ascii="Times New Roman" w:hAnsi="Times New Roman" w:eastAsia="方正仿宋_GBK" w:cs="Times New Roman"/>
          <w:color w:val="000000"/>
          <w:kern w:val="2"/>
          <w:sz w:val="32"/>
          <w:szCs w:val="32"/>
          <w:highlight w:val="none"/>
          <w:lang w:val="en-US" w:eastAsia="zh-CN" w:bidi="ar-SA"/>
        </w:rPr>
        <w:t>；高等职业院校</w:t>
      </w:r>
      <w:r>
        <w:rPr>
          <w:rFonts w:hint="default" w:ascii="Times New Roman" w:hAnsi="Times New Roman" w:eastAsia="方正仿宋_GBK" w:cs="Times New Roman"/>
          <w:sz w:val="32"/>
          <w:szCs w:val="32"/>
          <w:highlight w:val="none"/>
          <w:shd w:val="clear" w:color="auto" w:fill="FFFFFF"/>
          <w:lang w:val="en-US" w:eastAsia="zh-Hans"/>
        </w:rPr>
        <w:t>实践中心</w:t>
      </w:r>
      <w:r>
        <w:rPr>
          <w:rFonts w:hint="default" w:ascii="Times New Roman" w:hAnsi="Times New Roman" w:eastAsia="方正仿宋_GBK" w:cs="Times New Roman"/>
          <w:color w:val="000000"/>
          <w:kern w:val="2"/>
          <w:sz w:val="32"/>
          <w:szCs w:val="32"/>
          <w:highlight w:val="none"/>
          <w:lang w:val="en-US" w:eastAsia="zh-CN" w:bidi="ar-SA"/>
        </w:rPr>
        <w:t>直接向省教育厅申报，每所高职院校可申报1</w:t>
      </w:r>
      <w:r>
        <w:rPr>
          <w:rFonts w:hint="default" w:ascii="Times New Roman" w:hAnsi="Times New Roman" w:eastAsia="方正仿宋_GBK" w:cs="Times New Roman"/>
          <w:color w:val="000000"/>
          <w:kern w:val="2"/>
          <w:sz w:val="32"/>
          <w:szCs w:val="32"/>
          <w:highlight w:val="none"/>
          <w:lang w:val="en-US" w:eastAsia="zh-Hans" w:bidi="ar-SA"/>
        </w:rPr>
        <w:t>项</w:t>
      </w:r>
      <w:r>
        <w:rPr>
          <w:rFonts w:hint="default" w:ascii="Times New Roman" w:hAnsi="Times New Roman" w:eastAsia="方正仿宋_GBK" w:cs="Times New Roman"/>
          <w:color w:val="000000"/>
          <w:kern w:val="2"/>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黑体_GBK" w:cs="Times New Roman"/>
          <w:color w:val="000000"/>
          <w:sz w:val="32"/>
          <w:szCs w:val="32"/>
          <w:highlight w:val="none"/>
          <w:lang w:val="en-US" w:eastAsia="zh-CN"/>
        </w:rPr>
      </w:pPr>
      <w:r>
        <w:rPr>
          <w:rFonts w:hint="default" w:ascii="Times New Roman" w:hAnsi="Times New Roman" w:eastAsia="方正黑体_GBK" w:cs="Times New Roman"/>
          <w:color w:val="000000"/>
          <w:sz w:val="32"/>
          <w:szCs w:val="32"/>
          <w:highlight w:val="none"/>
          <w:lang w:val="en-US" w:eastAsia="zh-CN"/>
        </w:rPr>
        <w:t>八、工作流程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（一）注册申报。各实践中心建设单位根据工作要求，</w:t>
      </w:r>
      <w:r>
        <w:rPr>
          <w:rFonts w:hint="default" w:ascii="Times New Roman" w:hAnsi="Times New Roman" w:eastAsia="方正仿宋_GBK" w:cs="Times New Roman"/>
          <w:sz w:val="32"/>
          <w:szCs w:val="32"/>
          <w:lang w:val="en-US" w:eastAsia="zh-CN"/>
        </w:rPr>
        <w:t>在管理平台进行账号注册</w:t>
      </w:r>
      <w:r>
        <w:rPr>
          <w:rFonts w:hint="default" w:ascii="Times New Roman" w:hAnsi="Times New Roman" w:eastAsia="方正仿宋_GBK" w:cs="Times New Roman"/>
          <w:sz w:val="32"/>
          <w:szCs w:val="32"/>
        </w:rPr>
        <w:t>，实践中心注册填报时间：2023年7月30日—10月31日；2024年以后每年的1月1日—10月31日。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（二）市、校推荐遴选。</w:t>
      </w:r>
      <w:r>
        <w:rPr>
          <w:rFonts w:hint="default" w:ascii="Times New Roman" w:hAnsi="Times New Roman" w:eastAsia="方正仿宋_GBK" w:cs="Times New Roman"/>
          <w:sz w:val="32"/>
          <w:szCs w:val="32"/>
          <w:lang w:val="en-US" w:eastAsia="zh-CN"/>
        </w:rPr>
        <w:t>各市</w:t>
      </w:r>
      <w:r>
        <w:rPr>
          <w:rFonts w:hint="default" w:ascii="Times New Roman" w:hAnsi="Times New Roman" w:eastAsia="方正仿宋_GBK" w:cs="Times New Roman"/>
          <w:sz w:val="32"/>
          <w:szCs w:val="32"/>
        </w:rPr>
        <w:t>各校，按照“择优选择、宁缺毋滥”原则，遴选对外开展学生实习实训，实训课程和教材开发，面向企业开展培训，横向技术服务，科技成果奖项情况等较好的单位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加盖建设单位或市级行政部门公章后，推荐申报省级实践中心</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（三）省级组织审核。省教育厅将根据《开放型区域产教融合实践中心建设指南》组织专家对各地各校申报项目进行审核，遴选省级开放型区域产教融合实践中心，并择优推荐至教育部。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四</w:t>
      </w:r>
      <w:r>
        <w:rPr>
          <w:rFonts w:hint="default" w:ascii="Times New Roman" w:hAnsi="Times New Roman" w:eastAsia="方正仿宋_GBK" w:cs="Times New Roman"/>
          <w:sz w:val="32"/>
          <w:szCs w:val="32"/>
          <w:lang w:eastAsia="zh-CN"/>
        </w:rPr>
        <w:t>）平台填报。实践中心年度绩效数据采集时间：2023年起每年11月1日—12月15日。</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cs="Times New Roman"/>
          <w:color w:val="000000"/>
          <w:szCs w:val="32"/>
          <w:highlight w:val="none"/>
        </w:rPr>
      </w:pPr>
      <w:r>
        <w:rPr>
          <w:rStyle w:val="8"/>
          <w:rFonts w:hint="default" w:ascii="Times New Roman" w:hAnsi="Times New Roman" w:eastAsia="方正黑体_GBK" w:cs="Times New Roman"/>
          <w:b w:val="0"/>
          <w:bCs/>
          <w:color w:val="auto"/>
          <w:sz w:val="32"/>
          <w:szCs w:val="32"/>
          <w:highlight w:val="none"/>
          <w:lang w:val="en-US" w:eastAsia="zh-CN"/>
        </w:rPr>
        <w:t>九</w:t>
      </w:r>
      <w:r>
        <w:rPr>
          <w:rStyle w:val="8"/>
          <w:rFonts w:hint="default" w:ascii="Times New Roman" w:hAnsi="Times New Roman" w:eastAsia="方正黑体_GBK" w:cs="Times New Roman"/>
          <w:b w:val="0"/>
          <w:bCs/>
          <w:color w:val="auto"/>
          <w:sz w:val="32"/>
          <w:szCs w:val="32"/>
          <w:highlight w:val="none"/>
        </w:rPr>
        <w:t>、</w:t>
      </w:r>
      <w:r>
        <w:rPr>
          <w:rStyle w:val="8"/>
          <w:rFonts w:hint="default" w:ascii="Times New Roman" w:hAnsi="Times New Roman" w:eastAsia="方正黑体_GBK" w:cs="Times New Roman"/>
          <w:b w:val="0"/>
          <w:bCs/>
          <w:color w:val="auto"/>
          <w:sz w:val="32"/>
          <w:szCs w:val="32"/>
          <w:highlight w:val="none"/>
          <w:lang w:val="en-US" w:eastAsia="zh-CN"/>
        </w:rPr>
        <w:t>相关要求</w:t>
      </w:r>
    </w:p>
    <w:p>
      <w:pPr>
        <w:keepNext w:val="0"/>
        <w:keepLines w:val="0"/>
        <w:pageBreakBefore w:val="0"/>
        <w:widowControl/>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cs="Times New Roman"/>
          <w:highlight w:val="none"/>
          <w:lang w:val="en-US" w:eastAsia="zh-CN"/>
        </w:rPr>
      </w:pPr>
      <w:r>
        <w:rPr>
          <w:rFonts w:hint="default" w:ascii="Times New Roman" w:hAnsi="Times New Roman" w:eastAsia="方正仿宋_GBK" w:cs="Times New Roman"/>
          <w:sz w:val="32"/>
          <w:szCs w:val="32"/>
          <w:lang w:val="en-US" w:eastAsia="zh-CN"/>
        </w:rPr>
        <w:t>1.《开放型区域产教融合实践中心年度开放运营计划（提纲）》《开放型区域产教融合实践中心年度运营报告（提纲）》《开放型区域产教融合实践中心申报书》等相关附件材料在平台自行下载</w:t>
      </w:r>
      <w:r>
        <w:rPr>
          <w:rFonts w:hint="default" w:ascii="Times New Roman" w:hAnsi="Times New Roman" w:eastAsia="方正仿宋_GBK" w:cs="Times New Roman"/>
          <w:color w:val="000000"/>
          <w:sz w:val="32"/>
          <w:szCs w:val="32"/>
          <w:highlight w:val="none"/>
          <w:lang w:val="en-US" w:eastAsia="zh-CN"/>
        </w:rPr>
        <w:t>（网址：</w:t>
      </w:r>
      <w:r>
        <w:rPr>
          <w:rFonts w:hint="default" w:ascii="Times New Roman" w:hAnsi="Times New Roman" w:eastAsia="方正仿宋_GBK" w:cs="Times New Roman"/>
          <w:color w:val="auto"/>
          <w:sz w:val="32"/>
          <w:szCs w:val="32"/>
          <w:highlight w:val="none"/>
        </w:rPr>
        <w:fldChar w:fldCharType="begin"/>
      </w:r>
      <w:r>
        <w:rPr>
          <w:rFonts w:hint="default" w:ascii="Times New Roman" w:hAnsi="Times New Roman" w:eastAsia="方正仿宋_GBK" w:cs="Times New Roman"/>
          <w:color w:val="auto"/>
          <w:sz w:val="32"/>
          <w:szCs w:val="32"/>
          <w:highlight w:val="none"/>
        </w:rPr>
        <w:instrText xml:space="preserve"> HYPERLINK "http://zj.chinaafse.cn/）。" </w:instrText>
      </w:r>
      <w:r>
        <w:rPr>
          <w:rFonts w:hint="default" w:ascii="Times New Roman" w:hAnsi="Times New Roman" w:eastAsia="方正仿宋_GBK" w:cs="Times New Roman"/>
          <w:color w:val="auto"/>
          <w:sz w:val="32"/>
          <w:szCs w:val="32"/>
          <w:highlight w:val="none"/>
        </w:rPr>
        <w:fldChar w:fldCharType="separate"/>
      </w:r>
      <w:r>
        <w:rPr>
          <w:rStyle w:val="9"/>
          <w:rFonts w:hint="default" w:ascii="Times New Roman" w:hAnsi="Times New Roman" w:eastAsia="方正仿宋_GBK" w:cs="Times New Roman"/>
          <w:sz w:val="32"/>
          <w:szCs w:val="32"/>
          <w:highlight w:val="none"/>
        </w:rPr>
        <w:t>http://zj.chinaafse.cn/</w:t>
      </w:r>
      <w:r>
        <w:rPr>
          <w:rStyle w:val="9"/>
          <w:rFonts w:hint="default" w:ascii="Times New Roman" w:hAnsi="Times New Roman" w:eastAsia="方正仿宋_GBK" w:cs="Times New Roman"/>
          <w:color w:val="000000"/>
          <w:sz w:val="32"/>
          <w:szCs w:val="32"/>
          <w:highlight w:val="none"/>
          <w:lang w:val="en-US" w:eastAsia="zh-CN"/>
        </w:rPr>
        <w:t>）。</w:t>
      </w:r>
      <w:r>
        <w:rPr>
          <w:rFonts w:hint="default" w:ascii="Times New Roman" w:hAnsi="Times New Roman" w:eastAsia="方正仿宋_GBK" w:cs="Times New Roman"/>
          <w:color w:val="auto"/>
          <w:sz w:val="32"/>
          <w:szCs w:val="32"/>
          <w:highlight w:val="none"/>
        </w:rPr>
        <w:fldChar w:fldCharType="end"/>
      </w:r>
    </w:p>
    <w:p>
      <w:pPr>
        <w:keepNext w:val="0"/>
        <w:keepLines w:val="0"/>
        <w:pageBreakBefore w:val="0"/>
        <w:widowControl/>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cs="Times New Roman"/>
          <w:color w:val="000000"/>
          <w:sz w:val="32"/>
          <w:szCs w:val="32"/>
          <w:highlight w:val="none"/>
          <w:lang w:val="en-US" w:eastAsia="zh-CN"/>
        </w:rPr>
        <w:t>2.</w:t>
      </w:r>
      <w:r>
        <w:rPr>
          <w:rFonts w:hint="default" w:ascii="Times New Roman" w:hAnsi="Times New Roman" w:eastAsia="方正仿宋_GBK" w:cs="Times New Roman"/>
          <w:color w:val="000000"/>
          <w:sz w:val="32"/>
          <w:szCs w:val="32"/>
          <w:highlight w:val="none"/>
          <w:lang w:val="en-US" w:eastAsia="zh-CN"/>
        </w:rPr>
        <w:t>各申报单位于2023年</w:t>
      </w:r>
      <w:r>
        <w:rPr>
          <w:rFonts w:hint="default" w:ascii="Times New Roman" w:hAnsi="Times New Roman" w:cs="Times New Roman"/>
          <w:color w:val="000000"/>
          <w:sz w:val="32"/>
          <w:szCs w:val="32"/>
          <w:highlight w:val="none"/>
          <w:lang w:val="en-US" w:eastAsia="zh-CN"/>
        </w:rPr>
        <w:t>9</w:t>
      </w:r>
      <w:r>
        <w:rPr>
          <w:rFonts w:hint="default" w:ascii="Times New Roman" w:hAnsi="Times New Roman" w:eastAsia="方正仿宋_GBK" w:cs="Times New Roman"/>
          <w:color w:val="000000"/>
          <w:sz w:val="32"/>
          <w:szCs w:val="32"/>
          <w:highlight w:val="none"/>
          <w:lang w:val="en-US" w:eastAsia="zh-CN"/>
        </w:rPr>
        <w:t>月</w:t>
      </w:r>
      <w:r>
        <w:rPr>
          <w:rFonts w:hint="default" w:ascii="Times New Roman" w:hAnsi="Times New Roman" w:cs="Times New Roman"/>
          <w:color w:val="000000"/>
          <w:sz w:val="32"/>
          <w:szCs w:val="32"/>
          <w:highlight w:val="none"/>
          <w:lang w:val="en-US" w:eastAsia="zh-CN"/>
        </w:rPr>
        <w:t>3</w:t>
      </w:r>
      <w:r>
        <w:rPr>
          <w:rFonts w:hint="default" w:ascii="Times New Roman" w:hAnsi="Times New Roman" w:eastAsia="方正仿宋_GBK" w:cs="Times New Roman"/>
          <w:color w:val="000000"/>
          <w:sz w:val="32"/>
          <w:szCs w:val="32"/>
          <w:highlight w:val="none"/>
          <w:lang w:val="en-US" w:eastAsia="zh-CN"/>
        </w:rPr>
        <w:t>0日前将盖章版《开放型区域产教融合实践中心申报书》</w:t>
      </w:r>
      <w:r>
        <w:rPr>
          <w:rFonts w:hint="default" w:ascii="Times New Roman" w:hAnsi="Times New Roman" w:cs="Times New Roman"/>
          <w:color w:val="000000"/>
          <w:sz w:val="32"/>
          <w:szCs w:val="32"/>
          <w:highlight w:val="none"/>
          <w:lang w:val="en-US" w:eastAsia="zh-CN"/>
        </w:rPr>
        <w:t>、</w:t>
      </w:r>
      <w:r>
        <w:rPr>
          <w:rFonts w:hint="default" w:ascii="Times New Roman" w:hAnsi="Times New Roman" w:eastAsia="方正仿宋_GBK" w:cs="Times New Roman"/>
          <w:color w:val="000000"/>
          <w:sz w:val="32"/>
          <w:szCs w:val="32"/>
          <w:highlight w:val="none"/>
          <w:lang w:val="en-US" w:eastAsia="zh-CN"/>
        </w:rPr>
        <w:t>EXCEL汇总版及PDF盖章版汇总表以“xx市/校开放型区域产教融合实践中心申报”</w:t>
      </w:r>
      <w:r>
        <w:rPr>
          <w:rFonts w:hint="default" w:ascii="Times New Roman" w:hAnsi="Times New Roman" w:eastAsia="方正仿宋_GBK" w:cs="Times New Roman"/>
          <w:sz w:val="32"/>
          <w:highlight w:val="none"/>
          <w:lang w:val="en-US" w:eastAsia="zh-CN"/>
        </w:rPr>
        <w:t>文件夹命名，打包发送至联系人电子邮箱</w:t>
      </w:r>
      <w:r>
        <w:rPr>
          <w:rFonts w:hint="default" w:ascii="Times New Roman" w:hAnsi="Times New Roman" w:eastAsia="方正仿宋_GBK" w:cs="Times New Roman"/>
          <w:color w:val="00000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lang w:val="en-US" w:eastAsia="zh-CN"/>
        </w:rPr>
        <w:t>联 系 人：胡计虎</w:t>
      </w:r>
    </w:p>
    <w:p>
      <w:pPr>
        <w:keepNext w:val="0"/>
        <w:keepLines w:val="0"/>
        <w:pageBreakBefore w:val="0"/>
        <w:widowControl/>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Hans"/>
        </w:rPr>
      </w:pPr>
      <w:r>
        <w:rPr>
          <w:rFonts w:hint="default" w:ascii="Times New Roman" w:hAnsi="Times New Roman" w:eastAsia="方正仿宋_GBK" w:cs="Times New Roman"/>
          <w:color w:val="000000"/>
          <w:sz w:val="32"/>
          <w:szCs w:val="32"/>
          <w:highlight w:val="none"/>
          <w:lang w:val="en-US" w:eastAsia="zh-Hans"/>
        </w:rPr>
        <w:t>联系电话：</w:t>
      </w:r>
      <w:r>
        <w:rPr>
          <w:rFonts w:hint="default" w:ascii="Times New Roman" w:hAnsi="Times New Roman" w:eastAsia="方正仿宋_GBK" w:cs="Times New Roman"/>
          <w:color w:val="000000"/>
          <w:sz w:val="32"/>
          <w:szCs w:val="32"/>
          <w:highlight w:val="none"/>
          <w:lang w:val="en-US" w:eastAsia="zh-Hans"/>
        </w:rPr>
        <w:t>0551-62815925</w:t>
      </w:r>
    </w:p>
    <w:p>
      <w:pPr>
        <w:keepNext w:val="0"/>
        <w:keepLines w:val="0"/>
        <w:pageBreakBefore w:val="0"/>
        <w:widowControl/>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方正仿宋_GBK" w:cs="Times New Roman"/>
          <w:color w:val="000000"/>
          <w:sz w:val="32"/>
          <w:szCs w:val="32"/>
          <w:highlight w:val="none"/>
          <w:lang w:val="en-US" w:eastAsia="zh-CN"/>
        </w:rPr>
      </w:pPr>
      <w:r>
        <w:rPr>
          <w:rFonts w:hint="default" w:ascii="Times New Roman" w:hAnsi="Times New Roman" w:eastAsia="方正仿宋_GBK" w:cs="Times New Roman"/>
          <w:color w:val="000000"/>
          <w:sz w:val="32"/>
          <w:szCs w:val="32"/>
          <w:highlight w:val="none"/>
          <w:lang w:val="en-US" w:eastAsia="zh-CN"/>
        </w:rPr>
        <w:t>联系人邮箱：hujihu@126.com</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mMGIxYjY0NTk4M2ZlYWEyZjlkZDkyOGQ0YmNmNWEifQ=="/>
  </w:docVars>
  <w:rsids>
    <w:rsidRoot w:val="00000000"/>
    <w:rsid w:val="1B5F1C33"/>
    <w:rsid w:val="1C6E72F6"/>
    <w:rsid w:val="5089231D"/>
    <w:rsid w:val="6E68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ind w:firstLine="800"/>
    </w:pPr>
  </w:style>
  <w:style w:type="paragraph" w:styleId="3">
    <w:name w:val="Body Text First Indent 2"/>
    <w:basedOn w:val="4"/>
    <w:next w:val="5"/>
    <w:unhideWhenUsed/>
    <w:qFormat/>
    <w:uiPriority w:val="99"/>
    <w:pPr>
      <w:ind w:firstLine="420"/>
    </w:pPr>
  </w:style>
  <w:style w:type="paragraph" w:styleId="4">
    <w:name w:val="Body Text Indent"/>
    <w:basedOn w:val="1"/>
    <w:next w:val="1"/>
    <w:qFormat/>
    <w:uiPriority w:val="0"/>
    <w:pPr>
      <w:spacing w:line="360" w:lineRule="auto"/>
      <w:ind w:firstLine="560" w:firstLineChars="200"/>
    </w:pPr>
    <w:rPr>
      <w:rFonts w:ascii="仿宋_GB2312" w:hAnsi="宋体" w:eastAsia="仿宋_GB2312"/>
      <w:bCs/>
      <w:sz w:val="28"/>
      <w:szCs w:val="28"/>
    </w:rPr>
  </w:style>
  <w:style w:type="paragraph" w:styleId="5">
    <w:name w:val="Body Text First Indent"/>
    <w:basedOn w:val="2"/>
    <w:next w:val="3"/>
    <w:unhideWhenUsed/>
    <w:qFormat/>
    <w:uiPriority w:val="99"/>
    <w:pPr>
      <w:ind w:firstLine="640"/>
    </w:pPr>
  </w:style>
  <w:style w:type="character" w:styleId="8">
    <w:name w:val="Strong"/>
    <w:basedOn w:val="7"/>
    <w:unhideWhenUsed/>
    <w:qFormat/>
    <w:uiPriority w:val="99"/>
    <w:rPr>
      <w:rFonts w:hint="default"/>
      <w:b/>
      <w:sz w:val="24"/>
      <w:szCs w:val="24"/>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2409</Words>
  <Characters>2492</Characters>
  <Lines>0</Lines>
  <Paragraphs>0</Paragraphs>
  <TotalTime>0</TotalTime>
  <ScaleCrop>false</ScaleCrop>
  <LinksUpToDate>false</LinksUpToDate>
  <CharactersWithSpaces>2495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2023-08-13T15:39:00Z</dcterms:created>
  <dc:creator>redwolf</dc:creator>
  <cp:lastModifiedBy>詹生琪</cp:lastModifiedBy>
  <dcterms:modified xsi:type="dcterms:W3CDTF">2023-08-14T01:11:44Z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E048B2F272D0416485CF31A9AE785135_12</vt:lpwstr>
  </property>
</Properties>
</file>