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D797E">
      <w:pPr>
        <w:pStyle w:val="5"/>
        <w:snapToGrid w:val="0"/>
        <w:spacing w:line="360" w:lineRule="auto"/>
        <w:rPr>
          <w:highlight w:val="none"/>
        </w:rPr>
      </w:pPr>
      <w:bookmarkStart w:id="0" w:name="_Hlk106176666"/>
    </w:p>
    <w:p w14:paraId="312ABEDA">
      <w:pPr>
        <w:snapToGrid w:val="0"/>
        <w:spacing w:line="360" w:lineRule="auto"/>
        <w:jc w:val="center"/>
        <w:rPr>
          <w:rFonts w:ascii="方正小标宋简体" w:eastAsia="方正小标宋简体"/>
          <w:sz w:val="44"/>
          <w:szCs w:val="44"/>
          <w:highlight w:val="none"/>
        </w:rPr>
      </w:pPr>
      <w:bookmarkStart w:id="1" w:name="_Toc6447"/>
      <w:bookmarkStart w:id="2" w:name="_Toc31386"/>
      <w:bookmarkStart w:id="3" w:name="_Toc4969"/>
      <w:r>
        <w:rPr>
          <w:rFonts w:hint="eastAsia" w:ascii="方正小标宋简体" w:eastAsia="方正小标宋简体"/>
          <w:sz w:val="44"/>
          <w:szCs w:val="44"/>
          <w:highlight w:val="none"/>
          <w:lang w:val="en-US" w:eastAsia="zh-CN"/>
        </w:rPr>
        <w:t>智慧交通</w:t>
      </w:r>
      <w:r>
        <w:rPr>
          <w:rFonts w:hint="eastAsia" w:ascii="方正小标宋简体" w:eastAsia="方正小标宋简体"/>
          <w:sz w:val="44"/>
          <w:szCs w:val="44"/>
          <w:highlight w:val="none"/>
        </w:rPr>
        <w:t>学院</w:t>
      </w:r>
    </w:p>
    <w:bookmarkEnd w:id="1"/>
    <w:p w14:paraId="4FE87022">
      <w:pPr>
        <w:snapToGrid w:val="0"/>
        <w:spacing w:line="360" w:lineRule="auto"/>
        <w:jc w:val="center"/>
        <w:rPr>
          <w:rFonts w:hint="eastAsia" w:ascii="方正小标宋简体" w:eastAsia="方正小标宋简体"/>
          <w:sz w:val="44"/>
          <w:szCs w:val="44"/>
          <w:highlight w:val="none"/>
          <w:lang w:eastAsia="zh-CN"/>
        </w:rPr>
      </w:pPr>
      <w:r>
        <w:rPr>
          <w:rFonts w:hint="eastAsia" w:ascii="方正小标宋简体" w:eastAsia="方正小标宋简体"/>
          <w:sz w:val="44"/>
          <w:szCs w:val="44"/>
          <w:highlight w:val="none"/>
        </w:rPr>
        <w:t>新能源汽车检测与维修技术</w:t>
      </w:r>
      <w:r>
        <w:rPr>
          <w:rFonts w:hint="eastAsia" w:ascii="方正小标宋简体" w:eastAsia="方正小标宋简体"/>
          <w:sz w:val="44"/>
          <w:szCs w:val="44"/>
          <w:highlight w:val="none"/>
          <w:lang w:eastAsia="zh-CN"/>
        </w:rPr>
        <w:t>（</w:t>
      </w:r>
      <w:r>
        <w:rPr>
          <w:rFonts w:hint="eastAsia" w:ascii="方正小标宋简体" w:eastAsia="方正小标宋简体"/>
          <w:sz w:val="32"/>
          <w:szCs w:val="32"/>
          <w:highlight w:val="none"/>
          <w:lang w:val="en-US" w:eastAsia="zh-CN"/>
        </w:rPr>
        <w:t>2024级充电班</w:t>
      </w:r>
      <w:r>
        <w:rPr>
          <w:rFonts w:hint="eastAsia" w:ascii="方正小标宋简体" w:eastAsia="方正小标宋简体"/>
          <w:sz w:val="44"/>
          <w:szCs w:val="44"/>
          <w:highlight w:val="none"/>
          <w:lang w:eastAsia="zh-CN"/>
        </w:rPr>
        <w:t>）</w:t>
      </w:r>
    </w:p>
    <w:p w14:paraId="2322B85F">
      <w:pPr>
        <w:snapToGrid w:val="0"/>
        <w:spacing w:line="360" w:lineRule="auto"/>
        <w:jc w:val="center"/>
        <w:rPr>
          <w:rFonts w:ascii="方正小标宋简体" w:eastAsia="方正小标宋简体"/>
          <w:sz w:val="44"/>
          <w:szCs w:val="44"/>
          <w:highlight w:val="none"/>
        </w:rPr>
      </w:pPr>
      <w:bookmarkStart w:id="4" w:name="_Toc27326"/>
      <w:r>
        <w:rPr>
          <w:rFonts w:hint="eastAsia" w:ascii="方正小标宋简体" w:eastAsia="方正小标宋简体"/>
          <w:sz w:val="44"/>
          <w:szCs w:val="44"/>
          <w:highlight w:val="none"/>
        </w:rPr>
        <w:t>专业</w:t>
      </w:r>
      <w:bookmarkEnd w:id="2"/>
      <w:bookmarkStart w:id="5" w:name="_Toc22500"/>
      <w:r>
        <w:rPr>
          <w:rFonts w:hint="eastAsia" w:ascii="方正小标宋简体" w:eastAsia="方正小标宋简体"/>
          <w:sz w:val="44"/>
          <w:szCs w:val="44"/>
          <w:highlight w:val="none"/>
        </w:rPr>
        <w:t>人才培养方案（三年制）</w:t>
      </w:r>
      <w:bookmarkEnd w:id="3"/>
      <w:bookmarkEnd w:id="4"/>
      <w:bookmarkEnd w:id="5"/>
    </w:p>
    <w:p w14:paraId="0607DD32">
      <w:pPr>
        <w:pStyle w:val="5"/>
        <w:snapToGrid w:val="0"/>
        <w:spacing w:line="360" w:lineRule="auto"/>
        <w:rPr>
          <w:rFonts w:ascii="宋体" w:hAnsi="宋体" w:eastAsia="宋体" w:cs="宋体"/>
          <w:highlight w:val="none"/>
        </w:rPr>
      </w:pPr>
    </w:p>
    <w:p w14:paraId="2ED4E35D">
      <w:pPr>
        <w:snapToGrid w:val="0"/>
        <w:spacing w:line="480" w:lineRule="auto"/>
        <w:rPr>
          <w:rFonts w:hint="eastAsia" w:ascii="仿宋_GB2312" w:hAnsi="黑体" w:cs="宋体"/>
          <w:spacing w:val="137"/>
          <w:kern w:val="0"/>
          <w:szCs w:val="32"/>
          <w:highlight w:val="none"/>
          <w:fitText w:val="2560" w:id="-968696320"/>
        </w:rPr>
      </w:pPr>
    </w:p>
    <w:p w14:paraId="5F306A93">
      <w:pPr>
        <w:snapToGrid w:val="0"/>
        <w:spacing w:line="480" w:lineRule="auto"/>
        <w:rPr>
          <w:rFonts w:hint="default" w:ascii="仿宋_GB2312" w:eastAsia="仿宋_GB2312" w:cs="宋体" w:hAnsiTheme="minorEastAsia"/>
          <w:szCs w:val="32"/>
          <w:highlight w:val="none"/>
          <w:lang w:val="en-US" w:eastAsia="zh-CN"/>
        </w:rPr>
      </w:pPr>
      <w:r>
        <w:rPr>
          <w:rFonts w:hint="eastAsia" w:ascii="仿宋_GB2312" w:hAnsi="黑体" w:cs="宋体"/>
          <w:spacing w:val="137"/>
          <w:kern w:val="0"/>
          <w:szCs w:val="32"/>
          <w:highlight w:val="none"/>
          <w:fitText w:val="2560" w:id="-968696320"/>
        </w:rPr>
        <w:t>专业代</w:t>
      </w:r>
      <w:r>
        <w:rPr>
          <w:rFonts w:hint="eastAsia" w:ascii="仿宋_GB2312" w:hAnsi="黑体" w:cs="宋体"/>
          <w:spacing w:val="0"/>
          <w:kern w:val="0"/>
          <w:szCs w:val="32"/>
          <w:highlight w:val="none"/>
          <w:fitText w:val="2560" w:id="-968696320"/>
        </w:rPr>
        <w:t>码</w:t>
      </w:r>
      <w:r>
        <w:rPr>
          <w:rFonts w:hint="eastAsia" w:ascii="仿宋_GB2312" w:hAnsi="黑体" w:cs="宋体"/>
          <w:szCs w:val="32"/>
          <w:highlight w:val="none"/>
        </w:rPr>
        <w:t>：</w:t>
      </w:r>
      <w:r>
        <w:rPr>
          <w:rFonts w:ascii="仿宋_GB2312" w:cs="宋体" w:hAnsiTheme="minorEastAsia"/>
          <w:szCs w:val="32"/>
          <w:highlight w:val="none"/>
        </w:rPr>
        <w:t>5</w:t>
      </w:r>
      <w:r>
        <w:rPr>
          <w:rFonts w:hint="eastAsia" w:ascii="仿宋_GB2312" w:cs="宋体" w:hAnsiTheme="minorEastAsia"/>
          <w:szCs w:val="32"/>
          <w:highlight w:val="none"/>
          <w:lang w:val="en-US" w:eastAsia="zh-CN"/>
        </w:rPr>
        <w:t>00212</w:t>
      </w:r>
    </w:p>
    <w:p w14:paraId="5F7574EC">
      <w:pPr>
        <w:snapToGrid w:val="0"/>
        <w:spacing w:line="480" w:lineRule="auto"/>
        <w:rPr>
          <w:rFonts w:ascii="仿宋_GB2312" w:cs="宋体" w:hAnsiTheme="minorEastAsia"/>
          <w:szCs w:val="32"/>
          <w:highlight w:val="none"/>
        </w:rPr>
      </w:pPr>
      <w:r>
        <w:rPr>
          <w:rFonts w:hint="eastAsia" w:ascii="仿宋_GB2312" w:hAnsi="黑体" w:cs="宋体"/>
          <w:spacing w:val="213"/>
          <w:kern w:val="0"/>
          <w:szCs w:val="32"/>
          <w:highlight w:val="none"/>
          <w:fitText w:val="2560" w:id="-968696318"/>
        </w:rPr>
        <w:t>适用年</w:t>
      </w:r>
      <w:r>
        <w:rPr>
          <w:rFonts w:hint="eastAsia" w:ascii="仿宋_GB2312" w:hAnsi="黑体" w:cs="宋体"/>
          <w:spacing w:val="1"/>
          <w:kern w:val="0"/>
          <w:szCs w:val="32"/>
          <w:highlight w:val="none"/>
          <w:fitText w:val="2560" w:id="-968696318"/>
        </w:rPr>
        <w:t>级</w:t>
      </w:r>
      <w:r>
        <w:rPr>
          <w:rFonts w:hint="eastAsia" w:ascii="仿宋_GB2312" w:hAnsi="黑体" w:cs="宋体"/>
          <w:szCs w:val="32"/>
          <w:highlight w:val="none"/>
        </w:rPr>
        <w:t>：</w:t>
      </w:r>
      <w:r>
        <w:rPr>
          <w:rFonts w:hint="eastAsia" w:ascii="仿宋_GB2312" w:cs="宋体" w:hAnsiTheme="minorEastAsia"/>
          <w:szCs w:val="32"/>
          <w:highlight w:val="none"/>
        </w:rPr>
        <w:t>202</w:t>
      </w:r>
      <w:r>
        <w:rPr>
          <w:rFonts w:hint="eastAsia" w:ascii="仿宋_GB2312" w:cs="宋体" w:hAnsiTheme="minorEastAsia"/>
          <w:szCs w:val="32"/>
          <w:highlight w:val="none"/>
          <w:lang w:val="en-US" w:eastAsia="zh-CN"/>
        </w:rPr>
        <w:t>4</w:t>
      </w:r>
      <w:r>
        <w:rPr>
          <w:rFonts w:hint="eastAsia" w:ascii="仿宋_GB2312" w:cs="宋体" w:hAnsiTheme="minorEastAsia"/>
          <w:szCs w:val="32"/>
          <w:highlight w:val="none"/>
        </w:rPr>
        <w:t>级</w:t>
      </w:r>
    </w:p>
    <w:p w14:paraId="381374AD">
      <w:pPr>
        <w:snapToGrid w:val="0"/>
        <w:spacing w:line="480" w:lineRule="auto"/>
        <w:rPr>
          <w:rFonts w:ascii="仿宋_GB2312" w:cs="宋体" w:hAnsiTheme="minorEastAsia"/>
          <w:szCs w:val="32"/>
          <w:highlight w:val="none"/>
        </w:rPr>
      </w:pPr>
      <w:r>
        <w:rPr>
          <w:rFonts w:hint="eastAsia" w:ascii="仿宋_GB2312" w:hAnsi="黑体" w:cs="宋体"/>
          <w:spacing w:val="64"/>
          <w:kern w:val="0"/>
          <w:szCs w:val="32"/>
          <w:highlight w:val="none"/>
          <w:fitText w:val="2560" w:id="-968696319"/>
        </w:rPr>
        <w:t>方案主执笔</w:t>
      </w:r>
      <w:r>
        <w:rPr>
          <w:rFonts w:hint="eastAsia" w:ascii="仿宋_GB2312" w:hAnsi="黑体" w:cs="宋体"/>
          <w:spacing w:val="0"/>
          <w:kern w:val="0"/>
          <w:szCs w:val="32"/>
          <w:highlight w:val="none"/>
          <w:fitText w:val="2560" w:id="-968696319"/>
        </w:rPr>
        <w:t>人</w:t>
      </w:r>
      <w:r>
        <w:rPr>
          <w:rFonts w:hint="eastAsia" w:ascii="仿宋_GB2312" w:hAnsi="黑体" w:cs="宋体"/>
          <w:szCs w:val="32"/>
          <w:highlight w:val="none"/>
        </w:rPr>
        <w:t>：</w:t>
      </w:r>
      <w:bookmarkStart w:id="6" w:name="_Hlk201386091"/>
      <w:r>
        <w:rPr>
          <w:rFonts w:hint="eastAsia" w:ascii="仿宋_GB2312" w:hAnsi="黑体" w:cs="宋体"/>
          <w:szCs w:val="32"/>
          <w:highlight w:val="none"/>
          <w:lang w:val="en-US" w:eastAsia="zh-CN"/>
        </w:rPr>
        <w:t>智慧交通</w:t>
      </w:r>
      <w:r>
        <w:rPr>
          <w:rFonts w:hint="eastAsia" w:ascii="仿宋_GB2312" w:hAnsi="黑体" w:cs="宋体"/>
          <w:szCs w:val="32"/>
          <w:highlight w:val="none"/>
        </w:rPr>
        <w:t xml:space="preserve">学院 </w:t>
      </w:r>
      <w:r>
        <w:rPr>
          <w:rFonts w:hint="eastAsia" w:ascii="仿宋_GB2312" w:cs="宋体" w:hAnsiTheme="minorEastAsia"/>
          <w:szCs w:val="32"/>
          <w:highlight w:val="none"/>
          <w:lang w:val="en-US" w:eastAsia="zh-CN"/>
        </w:rPr>
        <w:t xml:space="preserve">朱超才 </w:t>
      </w:r>
      <w:r>
        <w:rPr>
          <w:rFonts w:hint="eastAsia" w:ascii="仿宋_GB2312" w:cs="宋体" w:hAnsiTheme="minorEastAsia"/>
          <w:szCs w:val="32"/>
          <w:highlight w:val="none"/>
        </w:rPr>
        <w:t>教授</w:t>
      </w:r>
      <w:bookmarkEnd w:id="6"/>
    </w:p>
    <w:p w14:paraId="5D6FDCC0">
      <w:pPr>
        <w:snapToGrid w:val="0"/>
        <w:spacing w:line="480" w:lineRule="auto"/>
        <w:ind w:left="2880" w:leftChars="900"/>
        <w:rPr>
          <w:rFonts w:ascii="仿宋_GB2312" w:cs="宋体" w:hAnsiTheme="minorEastAsia"/>
          <w:szCs w:val="32"/>
          <w:highlight w:val="none"/>
        </w:rPr>
      </w:pPr>
      <w:r>
        <w:rPr>
          <w:rFonts w:hint="eastAsia" w:ascii="仿宋_GB2312" w:hAnsi="黑体" w:cs="宋体"/>
          <w:szCs w:val="32"/>
          <w:highlight w:val="none"/>
          <w:lang w:val="en-US" w:eastAsia="zh-CN"/>
        </w:rPr>
        <w:t>安徽省充换电有限责任公司 方宝国</w:t>
      </w:r>
      <w:r>
        <w:rPr>
          <w:rFonts w:hint="eastAsia" w:ascii="仿宋_GB2312" w:cs="宋体" w:hAnsiTheme="minorEastAsia"/>
          <w:szCs w:val="32"/>
          <w:highlight w:val="none"/>
        </w:rPr>
        <w:t>（省级产业教授）</w:t>
      </w:r>
    </w:p>
    <w:p w14:paraId="27748BAA">
      <w:pPr>
        <w:snapToGrid w:val="0"/>
        <w:spacing w:line="480" w:lineRule="auto"/>
        <w:rPr>
          <w:rFonts w:ascii="仿宋_GB2312" w:cs="宋体" w:hAnsiTheme="minorEastAsia"/>
          <w:szCs w:val="32"/>
          <w:highlight w:val="none"/>
        </w:rPr>
      </w:pPr>
      <w:r>
        <w:rPr>
          <w:rFonts w:hint="eastAsia" w:ascii="仿宋_GB2312" w:hAnsi="黑体" w:cs="宋体"/>
          <w:spacing w:val="213"/>
          <w:kern w:val="0"/>
          <w:szCs w:val="32"/>
          <w:highlight w:val="none"/>
          <w:fitText w:val="2560" w:id="-968696317"/>
        </w:rPr>
        <w:t>制定时</w:t>
      </w:r>
      <w:r>
        <w:rPr>
          <w:rFonts w:hint="eastAsia" w:ascii="仿宋_GB2312" w:hAnsi="黑体" w:cs="宋体"/>
          <w:spacing w:val="1"/>
          <w:kern w:val="0"/>
          <w:szCs w:val="32"/>
          <w:highlight w:val="none"/>
          <w:fitText w:val="2560" w:id="-968696317"/>
        </w:rPr>
        <w:t>间</w:t>
      </w:r>
      <w:r>
        <w:rPr>
          <w:rFonts w:hint="eastAsia" w:ascii="仿宋_GB2312" w:hAnsi="黑体" w:cs="宋体"/>
          <w:szCs w:val="32"/>
          <w:highlight w:val="none"/>
        </w:rPr>
        <w:t>：</w:t>
      </w:r>
      <w:r>
        <w:rPr>
          <w:rFonts w:hint="eastAsia" w:ascii="仿宋_GB2312" w:cs="宋体" w:hAnsiTheme="minorEastAsia"/>
          <w:szCs w:val="32"/>
          <w:highlight w:val="none"/>
        </w:rPr>
        <w:t>202</w:t>
      </w:r>
      <w:r>
        <w:rPr>
          <w:rFonts w:hint="eastAsia" w:ascii="仿宋_GB2312" w:cs="宋体" w:hAnsiTheme="minorEastAsia"/>
          <w:szCs w:val="32"/>
          <w:highlight w:val="none"/>
          <w:lang w:val="en-US" w:eastAsia="zh-CN"/>
        </w:rPr>
        <w:t>4</w:t>
      </w:r>
      <w:r>
        <w:rPr>
          <w:rFonts w:hint="eastAsia" w:ascii="仿宋_GB2312" w:cs="宋体" w:hAnsiTheme="minorEastAsia"/>
          <w:szCs w:val="32"/>
          <w:highlight w:val="none"/>
        </w:rPr>
        <w:t>年6月20日</w:t>
      </w:r>
    </w:p>
    <w:p w14:paraId="3D1ED166">
      <w:pPr>
        <w:snapToGrid w:val="0"/>
        <w:spacing w:line="480" w:lineRule="auto"/>
        <w:rPr>
          <w:rFonts w:hint="eastAsia" w:ascii="仿宋_GB2312" w:eastAsia="仿宋_GB2312" w:cs="宋体" w:hAnsiTheme="minorEastAsia"/>
          <w:szCs w:val="32"/>
          <w:highlight w:val="none"/>
          <w:lang w:eastAsia="zh-CN"/>
        </w:rPr>
      </w:pPr>
      <w:r>
        <w:rPr>
          <w:rFonts w:hint="eastAsia" w:ascii="仿宋_GB2312" w:hAnsi="黑体" w:cs="宋体"/>
          <w:spacing w:val="26"/>
          <w:kern w:val="0"/>
          <w:szCs w:val="32"/>
          <w:highlight w:val="none"/>
          <w:fitText w:val="2560" w:id="-968696316"/>
        </w:rPr>
        <w:t>二级学院负责</w:t>
      </w:r>
      <w:r>
        <w:rPr>
          <w:rFonts w:hint="eastAsia" w:ascii="仿宋_GB2312" w:hAnsi="黑体" w:cs="宋体"/>
          <w:spacing w:val="4"/>
          <w:kern w:val="0"/>
          <w:szCs w:val="32"/>
          <w:highlight w:val="none"/>
          <w:fitText w:val="2560" w:id="-968696316"/>
        </w:rPr>
        <w:t>人</w:t>
      </w:r>
      <w:r>
        <w:rPr>
          <w:rFonts w:hint="eastAsia" w:ascii="仿宋_GB2312" w:hAnsi="黑体" w:cs="宋体"/>
          <w:szCs w:val="32"/>
          <w:highlight w:val="none"/>
        </w:rPr>
        <w:t>：</w:t>
      </w:r>
      <w:r>
        <w:rPr>
          <w:rFonts w:hint="eastAsia" w:ascii="仿宋_GB2312" w:cs="宋体" w:hAnsiTheme="minorEastAsia"/>
          <w:szCs w:val="32"/>
          <w:highlight w:val="none"/>
          <w:lang w:val="en-US" w:eastAsia="zh-CN"/>
        </w:rPr>
        <w:t>朱超才</w:t>
      </w:r>
    </w:p>
    <w:p w14:paraId="62540B52">
      <w:pPr>
        <w:snapToGrid w:val="0"/>
        <w:spacing w:line="480" w:lineRule="auto"/>
        <w:rPr>
          <w:rFonts w:ascii="仿宋_GB2312" w:cs="宋体" w:hAnsiTheme="minorEastAsia"/>
          <w:szCs w:val="32"/>
          <w:highlight w:val="none"/>
        </w:rPr>
      </w:pPr>
      <w:r>
        <w:rPr>
          <w:rFonts w:hint="eastAsia" w:ascii="仿宋_GB2312" w:hAnsi="黑体" w:cs="宋体"/>
          <w:szCs w:val="32"/>
          <w:highlight w:val="none"/>
        </w:rPr>
        <w:t>二级学院审核时间：</w:t>
      </w:r>
      <w:r>
        <w:rPr>
          <w:rFonts w:hint="eastAsia" w:ascii="仿宋_GB2312" w:cs="宋体" w:hAnsiTheme="minorEastAsia"/>
          <w:szCs w:val="32"/>
          <w:highlight w:val="none"/>
        </w:rPr>
        <w:t>202</w:t>
      </w:r>
      <w:r>
        <w:rPr>
          <w:rFonts w:hint="eastAsia" w:ascii="仿宋_GB2312" w:cs="宋体" w:hAnsiTheme="minorEastAsia"/>
          <w:szCs w:val="32"/>
          <w:highlight w:val="none"/>
          <w:lang w:val="en-US" w:eastAsia="zh-CN"/>
        </w:rPr>
        <w:t>4</w:t>
      </w:r>
      <w:r>
        <w:rPr>
          <w:rFonts w:hint="eastAsia" w:ascii="仿宋_GB2312" w:cs="宋体" w:hAnsiTheme="minorEastAsia"/>
          <w:szCs w:val="32"/>
          <w:highlight w:val="none"/>
        </w:rPr>
        <w:t>年7月</w:t>
      </w:r>
      <w:r>
        <w:rPr>
          <w:rFonts w:hint="eastAsia" w:ascii="仿宋_GB2312" w:cs="宋体" w:hAnsiTheme="minorEastAsia"/>
          <w:szCs w:val="32"/>
          <w:highlight w:val="none"/>
          <w:lang w:val="en-US" w:eastAsia="zh-CN"/>
        </w:rPr>
        <w:t>15</w:t>
      </w:r>
      <w:r>
        <w:rPr>
          <w:rFonts w:hint="eastAsia" w:ascii="仿宋_GB2312" w:cs="宋体" w:hAnsiTheme="minorEastAsia"/>
          <w:szCs w:val="32"/>
          <w:highlight w:val="none"/>
        </w:rPr>
        <w:t>日</w:t>
      </w:r>
    </w:p>
    <w:p w14:paraId="4D433DC0">
      <w:pPr>
        <w:snapToGrid w:val="0"/>
        <w:spacing w:line="480" w:lineRule="auto"/>
        <w:rPr>
          <w:rFonts w:ascii="仿宋_GB2312" w:cs="宋体" w:hAnsiTheme="minorEastAsia"/>
          <w:szCs w:val="32"/>
          <w:highlight w:val="none"/>
        </w:rPr>
      </w:pPr>
      <w:r>
        <w:rPr>
          <w:rFonts w:hint="eastAsia" w:ascii="仿宋_GB2312" w:hAnsi="黑体" w:cs="宋体"/>
          <w:spacing w:val="26"/>
          <w:kern w:val="0"/>
          <w:szCs w:val="32"/>
          <w:highlight w:val="none"/>
          <w:fitText w:val="2560" w:id="-968696315"/>
        </w:rPr>
        <w:t>学术委员会审</w:t>
      </w:r>
      <w:r>
        <w:rPr>
          <w:rFonts w:hint="eastAsia" w:ascii="仿宋_GB2312" w:hAnsi="黑体" w:cs="宋体"/>
          <w:spacing w:val="4"/>
          <w:kern w:val="0"/>
          <w:szCs w:val="32"/>
          <w:highlight w:val="none"/>
          <w:fitText w:val="2560" w:id="-968696315"/>
        </w:rPr>
        <w:t>核</w:t>
      </w:r>
      <w:r>
        <w:rPr>
          <w:rFonts w:hint="eastAsia" w:ascii="仿宋_GB2312" w:hAnsi="黑体" w:cs="宋体"/>
          <w:szCs w:val="32"/>
          <w:highlight w:val="none"/>
        </w:rPr>
        <w:t>：</w:t>
      </w:r>
      <w:r>
        <w:rPr>
          <w:rFonts w:hint="eastAsia" w:ascii="仿宋_GB2312" w:cs="宋体" w:hAnsiTheme="minorEastAsia"/>
          <w:szCs w:val="32"/>
          <w:highlight w:val="none"/>
        </w:rPr>
        <w:t>学术委员会二届</w:t>
      </w:r>
      <w:r>
        <w:rPr>
          <w:rFonts w:hint="eastAsia" w:ascii="仿宋_GB2312" w:cs="宋体" w:hAnsiTheme="minorEastAsia"/>
          <w:szCs w:val="32"/>
          <w:highlight w:val="none"/>
          <w:lang w:val="en-US" w:eastAsia="zh-CN"/>
        </w:rPr>
        <w:t>十九</w:t>
      </w:r>
      <w:r>
        <w:rPr>
          <w:rFonts w:hint="eastAsia" w:ascii="仿宋_GB2312" w:cs="宋体" w:hAnsiTheme="minorEastAsia"/>
          <w:szCs w:val="32"/>
          <w:highlight w:val="none"/>
        </w:rPr>
        <w:t>次会议通过</w:t>
      </w:r>
    </w:p>
    <w:p w14:paraId="27A4DD59">
      <w:pPr>
        <w:snapToGrid w:val="0"/>
        <w:spacing w:line="480" w:lineRule="auto"/>
        <w:rPr>
          <w:rFonts w:ascii="仿宋_GB2312" w:cs="宋体" w:hAnsiTheme="minorEastAsia"/>
          <w:szCs w:val="32"/>
          <w:highlight w:val="none"/>
        </w:rPr>
      </w:pPr>
      <w:r>
        <w:rPr>
          <w:rFonts w:hint="eastAsia" w:ascii="仿宋_GB2312" w:hAnsi="黑体" w:cs="宋体"/>
          <w:spacing w:val="26"/>
          <w:kern w:val="0"/>
          <w:szCs w:val="32"/>
          <w:highlight w:val="none"/>
          <w:fitText w:val="2560" w:id="-968696314"/>
        </w:rPr>
        <w:t>学校党委会审</w:t>
      </w:r>
      <w:r>
        <w:rPr>
          <w:rFonts w:hint="eastAsia" w:ascii="仿宋_GB2312" w:hAnsi="黑体" w:cs="宋体"/>
          <w:spacing w:val="4"/>
          <w:kern w:val="0"/>
          <w:szCs w:val="32"/>
          <w:highlight w:val="none"/>
          <w:fitText w:val="2560" w:id="-968696314"/>
        </w:rPr>
        <w:t>批</w:t>
      </w:r>
      <w:r>
        <w:rPr>
          <w:rFonts w:hint="eastAsia" w:ascii="仿宋_GB2312" w:hAnsi="黑体" w:cs="宋体"/>
          <w:szCs w:val="32"/>
          <w:highlight w:val="none"/>
        </w:rPr>
        <w:t>：</w:t>
      </w:r>
      <w:r>
        <w:rPr>
          <w:rFonts w:hint="eastAsia" w:ascii="仿宋_GB2312" w:cs="宋体" w:hAnsiTheme="minorEastAsia"/>
          <w:szCs w:val="32"/>
          <w:highlight w:val="none"/>
        </w:rPr>
        <w:t>202</w:t>
      </w:r>
      <w:r>
        <w:rPr>
          <w:rFonts w:hint="eastAsia" w:ascii="仿宋_GB2312" w:cs="宋体" w:hAnsiTheme="minorEastAsia"/>
          <w:szCs w:val="32"/>
          <w:highlight w:val="none"/>
          <w:lang w:val="en-US" w:eastAsia="zh-CN"/>
        </w:rPr>
        <w:t>4</w:t>
      </w:r>
      <w:r>
        <w:rPr>
          <w:rFonts w:hint="eastAsia" w:ascii="仿宋_GB2312" w:cs="宋体" w:hAnsiTheme="minorEastAsia"/>
          <w:szCs w:val="32"/>
          <w:highlight w:val="none"/>
        </w:rPr>
        <w:t>年第</w:t>
      </w:r>
      <w:r>
        <w:rPr>
          <w:rFonts w:ascii="仿宋_GB2312" w:cs="宋体" w:hAnsiTheme="minorEastAsia"/>
          <w:szCs w:val="32"/>
          <w:highlight w:val="none"/>
        </w:rPr>
        <w:t>6</w:t>
      </w:r>
      <w:r>
        <w:rPr>
          <w:rFonts w:hint="eastAsia" w:ascii="仿宋_GB2312" w:cs="宋体" w:hAnsiTheme="minorEastAsia"/>
          <w:szCs w:val="32"/>
          <w:highlight w:val="none"/>
        </w:rPr>
        <w:t>次</w:t>
      </w:r>
      <w:r>
        <w:rPr>
          <w:rFonts w:hint="eastAsia" w:ascii="仿宋_GB2312" w:cs="宋体" w:hAnsiTheme="minorEastAsia"/>
          <w:szCs w:val="32"/>
          <w:highlight w:val="none"/>
          <w:lang w:val="en-US" w:eastAsia="zh-CN"/>
        </w:rPr>
        <w:t>党政联席会审议</w:t>
      </w:r>
      <w:r>
        <w:rPr>
          <w:rFonts w:hint="eastAsia" w:ascii="仿宋_GB2312" w:cs="宋体" w:hAnsiTheme="minorEastAsia"/>
          <w:szCs w:val="32"/>
          <w:highlight w:val="none"/>
        </w:rPr>
        <w:t>通过</w:t>
      </w:r>
    </w:p>
    <w:p w14:paraId="7ACC56B3">
      <w:pPr>
        <w:snapToGrid w:val="0"/>
        <w:spacing w:line="480" w:lineRule="auto"/>
        <w:rPr>
          <w:rFonts w:eastAsia="方正小标宋简体"/>
          <w:sz w:val="36"/>
          <w:szCs w:val="36"/>
          <w:highlight w:val="none"/>
        </w:rPr>
      </w:pPr>
      <w:r>
        <w:rPr>
          <w:rFonts w:hint="eastAsia" w:ascii="仿宋_GB2312" w:hAnsi="黑体" w:cs="宋体"/>
          <w:spacing w:val="213"/>
          <w:kern w:val="0"/>
          <w:szCs w:val="32"/>
          <w:highlight w:val="none"/>
          <w:fitText w:val="2560" w:id="-968696313"/>
        </w:rPr>
        <w:t>修订时</w:t>
      </w:r>
      <w:r>
        <w:rPr>
          <w:rFonts w:hint="eastAsia" w:ascii="仿宋_GB2312" w:hAnsi="黑体" w:cs="宋体"/>
          <w:spacing w:val="1"/>
          <w:kern w:val="0"/>
          <w:szCs w:val="32"/>
          <w:highlight w:val="none"/>
          <w:fitText w:val="2560" w:id="-968696313"/>
        </w:rPr>
        <w:t>间</w:t>
      </w:r>
      <w:r>
        <w:rPr>
          <w:rFonts w:hint="eastAsia" w:ascii="仿宋_GB2312" w:hAnsi="黑体" w:cs="宋体"/>
          <w:szCs w:val="32"/>
          <w:highlight w:val="none"/>
        </w:rPr>
        <w:t>：</w:t>
      </w:r>
      <w:r>
        <w:rPr>
          <w:rFonts w:hint="eastAsia" w:ascii="仿宋_GB2312" w:cs="宋体" w:hAnsiTheme="minorEastAsia"/>
          <w:szCs w:val="32"/>
          <w:highlight w:val="none"/>
        </w:rPr>
        <w:t>202</w:t>
      </w:r>
      <w:r>
        <w:rPr>
          <w:rFonts w:hint="eastAsia" w:ascii="仿宋_GB2312" w:cs="宋体" w:hAnsiTheme="minorEastAsia"/>
          <w:szCs w:val="32"/>
          <w:highlight w:val="none"/>
          <w:lang w:val="en-US" w:eastAsia="zh-CN"/>
        </w:rPr>
        <w:t>6</w:t>
      </w:r>
      <w:r>
        <w:rPr>
          <w:rFonts w:hint="eastAsia" w:ascii="仿宋_GB2312" w:cs="宋体" w:hAnsiTheme="minorEastAsia"/>
          <w:szCs w:val="32"/>
          <w:highlight w:val="none"/>
        </w:rPr>
        <w:t>年</w:t>
      </w:r>
      <w:r>
        <w:rPr>
          <w:rFonts w:ascii="仿宋_GB2312" w:cs="宋体" w:hAnsiTheme="minorEastAsia"/>
          <w:szCs w:val="32"/>
          <w:highlight w:val="none"/>
        </w:rPr>
        <w:t>3</w:t>
      </w:r>
      <w:r>
        <w:rPr>
          <w:rFonts w:hint="eastAsia" w:ascii="仿宋_GB2312" w:cs="宋体" w:hAnsiTheme="minorEastAsia"/>
          <w:szCs w:val="32"/>
          <w:highlight w:val="none"/>
        </w:rPr>
        <w:t>月10日</w:t>
      </w:r>
      <w:r>
        <w:rPr>
          <w:rFonts w:hint="eastAsia" w:eastAsia="方正小标宋简体"/>
          <w:szCs w:val="32"/>
          <w:highlight w:val="none"/>
        </w:rPr>
        <w:br w:type="page"/>
      </w:r>
    </w:p>
    <w:p w14:paraId="0C271A26">
      <w:pPr>
        <w:snapToGrid w:val="0"/>
        <w:spacing w:line="360" w:lineRule="auto"/>
        <w:jc w:val="center"/>
        <w:rPr>
          <w:rFonts w:ascii="黑体" w:hAnsi="黑体" w:eastAsia="黑体"/>
          <w:highlight w:val="none"/>
        </w:rPr>
      </w:pPr>
      <w:r>
        <w:rPr>
          <w:rFonts w:hint="eastAsia" w:ascii="黑体" w:hAnsi="黑体" w:eastAsia="黑体"/>
          <w:highlight w:val="none"/>
        </w:rPr>
        <w:t xml:space="preserve">目 </w:t>
      </w:r>
      <w:r>
        <w:rPr>
          <w:rFonts w:ascii="黑体" w:hAnsi="黑体" w:eastAsia="黑体"/>
          <w:highlight w:val="none"/>
        </w:rPr>
        <w:t xml:space="preserve"> </w:t>
      </w:r>
      <w:r>
        <w:rPr>
          <w:rFonts w:hint="eastAsia" w:ascii="黑体" w:hAnsi="黑体" w:eastAsia="黑体"/>
          <w:highlight w:val="none"/>
        </w:rPr>
        <w:t>录</w:t>
      </w:r>
    </w:p>
    <w:p w14:paraId="5322E6DD">
      <w:pPr>
        <w:pStyle w:val="12"/>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b/>
          <w:sz w:val="28"/>
          <w:highlight w:val="none"/>
        </w:rPr>
        <w:fldChar w:fldCharType="begin"/>
      </w:r>
      <w:r>
        <w:rPr>
          <w:b/>
          <w:sz w:val="28"/>
          <w:highlight w:val="none"/>
        </w:rPr>
        <w:instrText xml:space="preserve"> TOC \o "1-3" \h \z \u </w:instrText>
      </w:r>
      <w:r>
        <w:rPr>
          <w:b/>
          <w:sz w:val="28"/>
          <w:highlight w:val="none"/>
        </w:rPr>
        <w:fldChar w:fldCharType="separate"/>
      </w:r>
      <w:r>
        <w:rPr>
          <w:highlight w:val="none"/>
        </w:rPr>
        <w:fldChar w:fldCharType="begin"/>
      </w:r>
      <w:r>
        <w:rPr>
          <w:highlight w:val="none"/>
        </w:rPr>
        <w:instrText xml:space="preserve"> HYPERLINK \l "_Toc201407666" </w:instrText>
      </w:r>
      <w:r>
        <w:rPr>
          <w:highlight w:val="none"/>
        </w:rPr>
        <w:fldChar w:fldCharType="separate"/>
      </w:r>
      <w:r>
        <w:rPr>
          <w:rStyle w:val="19"/>
          <w:highlight w:val="none"/>
        </w:rPr>
        <w:t>一、专业名称及代码</w:t>
      </w:r>
      <w:r>
        <w:rPr>
          <w:highlight w:val="none"/>
        </w:rPr>
        <w:tab/>
      </w:r>
      <w:r>
        <w:rPr>
          <w:highlight w:val="none"/>
        </w:rPr>
        <w:fldChar w:fldCharType="begin"/>
      </w:r>
      <w:r>
        <w:rPr>
          <w:highlight w:val="none"/>
        </w:rPr>
        <w:instrText xml:space="preserve"> PAGEREF _Toc201407666 \h </w:instrText>
      </w:r>
      <w:r>
        <w:rPr>
          <w:highlight w:val="none"/>
        </w:rPr>
        <w:fldChar w:fldCharType="separate"/>
      </w:r>
      <w:r>
        <w:rPr>
          <w:highlight w:val="none"/>
        </w:rPr>
        <w:t>1</w:t>
      </w:r>
      <w:r>
        <w:rPr>
          <w:highlight w:val="none"/>
        </w:rPr>
        <w:fldChar w:fldCharType="end"/>
      </w:r>
      <w:r>
        <w:rPr>
          <w:highlight w:val="none"/>
        </w:rPr>
        <w:fldChar w:fldCharType="end"/>
      </w:r>
    </w:p>
    <w:p w14:paraId="7CFF9BED">
      <w:pPr>
        <w:pStyle w:val="12"/>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"_Toc201407667" </w:instrText>
      </w:r>
      <w:r>
        <w:rPr>
          <w:highlight w:val="none"/>
        </w:rPr>
        <w:fldChar w:fldCharType="separate"/>
      </w:r>
      <w:r>
        <w:rPr>
          <w:rStyle w:val="19"/>
          <w:highlight w:val="none"/>
        </w:rPr>
        <w:t>二、入学要求</w:t>
      </w:r>
      <w:r>
        <w:rPr>
          <w:highlight w:val="none"/>
        </w:rPr>
        <w:tab/>
      </w:r>
      <w:r>
        <w:rPr>
          <w:highlight w:val="none"/>
        </w:rPr>
        <w:fldChar w:fldCharType="begin"/>
      </w:r>
      <w:r>
        <w:rPr>
          <w:highlight w:val="none"/>
        </w:rPr>
        <w:instrText xml:space="preserve"> PAGEREF _Toc201407667 \h </w:instrText>
      </w:r>
      <w:r>
        <w:rPr>
          <w:highlight w:val="none"/>
        </w:rPr>
        <w:fldChar w:fldCharType="separate"/>
      </w:r>
      <w:r>
        <w:rPr>
          <w:highlight w:val="none"/>
        </w:rPr>
        <w:t>1</w:t>
      </w:r>
      <w:r>
        <w:rPr>
          <w:highlight w:val="none"/>
        </w:rPr>
        <w:fldChar w:fldCharType="end"/>
      </w:r>
      <w:r>
        <w:rPr>
          <w:highlight w:val="none"/>
        </w:rPr>
        <w:fldChar w:fldCharType="end"/>
      </w:r>
    </w:p>
    <w:p w14:paraId="750DC5A9">
      <w:pPr>
        <w:pStyle w:val="12"/>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"_Toc201407668" </w:instrText>
      </w:r>
      <w:r>
        <w:rPr>
          <w:highlight w:val="none"/>
        </w:rPr>
        <w:fldChar w:fldCharType="separate"/>
      </w:r>
      <w:r>
        <w:rPr>
          <w:rStyle w:val="19"/>
          <w:highlight w:val="none"/>
        </w:rPr>
        <w:t>三、修业年限</w:t>
      </w:r>
      <w:r>
        <w:rPr>
          <w:highlight w:val="none"/>
        </w:rPr>
        <w:tab/>
      </w:r>
      <w:r>
        <w:rPr>
          <w:highlight w:val="none"/>
        </w:rPr>
        <w:fldChar w:fldCharType="begin"/>
      </w:r>
      <w:r>
        <w:rPr>
          <w:highlight w:val="none"/>
        </w:rPr>
        <w:instrText xml:space="preserve"> PAGEREF _Toc201407668 \h </w:instrText>
      </w:r>
      <w:r>
        <w:rPr>
          <w:highlight w:val="none"/>
        </w:rPr>
        <w:fldChar w:fldCharType="separate"/>
      </w:r>
      <w:r>
        <w:rPr>
          <w:highlight w:val="none"/>
        </w:rPr>
        <w:t>1</w:t>
      </w:r>
      <w:r>
        <w:rPr>
          <w:highlight w:val="none"/>
        </w:rPr>
        <w:fldChar w:fldCharType="end"/>
      </w:r>
      <w:r>
        <w:rPr>
          <w:highlight w:val="none"/>
        </w:rPr>
        <w:fldChar w:fldCharType="end"/>
      </w:r>
    </w:p>
    <w:p w14:paraId="2C64DA42">
      <w:pPr>
        <w:pStyle w:val="12"/>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"_Toc201407669" </w:instrText>
      </w:r>
      <w:r>
        <w:rPr>
          <w:highlight w:val="none"/>
        </w:rPr>
        <w:fldChar w:fldCharType="separate"/>
      </w:r>
      <w:r>
        <w:rPr>
          <w:rStyle w:val="19"/>
          <w:highlight w:val="none"/>
        </w:rPr>
        <w:t>四、职业面向</w:t>
      </w:r>
      <w:r>
        <w:rPr>
          <w:highlight w:val="none"/>
        </w:rPr>
        <w:tab/>
      </w:r>
      <w:r>
        <w:rPr>
          <w:highlight w:val="none"/>
        </w:rPr>
        <w:fldChar w:fldCharType="begin"/>
      </w:r>
      <w:r>
        <w:rPr>
          <w:highlight w:val="none"/>
        </w:rPr>
        <w:instrText xml:space="preserve"> PAGEREF _Toc201407669 \h </w:instrText>
      </w:r>
      <w:r>
        <w:rPr>
          <w:highlight w:val="none"/>
        </w:rPr>
        <w:fldChar w:fldCharType="separate"/>
      </w:r>
      <w:r>
        <w:rPr>
          <w:highlight w:val="none"/>
        </w:rPr>
        <w:t>1</w:t>
      </w:r>
      <w:r>
        <w:rPr>
          <w:highlight w:val="none"/>
        </w:rPr>
        <w:fldChar w:fldCharType="end"/>
      </w:r>
      <w:r>
        <w:rPr>
          <w:highlight w:val="none"/>
        </w:rPr>
        <w:fldChar w:fldCharType="end"/>
      </w:r>
    </w:p>
    <w:p w14:paraId="3415E52D">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"_Toc201407670" </w:instrText>
      </w:r>
      <w:r>
        <w:rPr>
          <w:highlight w:val="none"/>
        </w:rPr>
        <w:fldChar w:fldCharType="separate"/>
      </w:r>
      <w:r>
        <w:rPr>
          <w:rStyle w:val="19"/>
          <w:highlight w:val="none"/>
        </w:rPr>
        <w:t>（一）职业面向</w:t>
      </w:r>
      <w:r>
        <w:rPr>
          <w:highlight w:val="none"/>
        </w:rPr>
        <w:tab/>
      </w:r>
      <w:r>
        <w:rPr>
          <w:highlight w:val="none"/>
        </w:rPr>
        <w:fldChar w:fldCharType="begin"/>
      </w:r>
      <w:r>
        <w:rPr>
          <w:highlight w:val="none"/>
        </w:rPr>
        <w:instrText xml:space="preserve"> PAGEREF _Toc201407670 \h </w:instrText>
      </w:r>
      <w:r>
        <w:rPr>
          <w:highlight w:val="none"/>
        </w:rPr>
        <w:fldChar w:fldCharType="separate"/>
      </w:r>
      <w:r>
        <w:rPr>
          <w:highlight w:val="none"/>
        </w:rPr>
        <w:t>1</w:t>
      </w:r>
      <w:r>
        <w:rPr>
          <w:highlight w:val="none"/>
        </w:rPr>
        <w:fldChar w:fldCharType="end"/>
      </w:r>
      <w:r>
        <w:rPr>
          <w:highlight w:val="none"/>
        </w:rPr>
        <w:fldChar w:fldCharType="end"/>
      </w:r>
    </w:p>
    <w:p w14:paraId="4705C8F6">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"_Toc201407671" </w:instrText>
      </w:r>
      <w:r>
        <w:rPr>
          <w:highlight w:val="none"/>
        </w:rPr>
        <w:fldChar w:fldCharType="separate"/>
      </w:r>
      <w:r>
        <w:rPr>
          <w:rStyle w:val="19"/>
          <w:highlight w:val="none"/>
        </w:rPr>
        <w:t>（二）主要岗位（群）描述</w:t>
      </w:r>
      <w:r>
        <w:rPr>
          <w:highlight w:val="none"/>
        </w:rPr>
        <w:tab/>
      </w:r>
      <w:r>
        <w:rPr>
          <w:highlight w:val="none"/>
        </w:rPr>
        <w:fldChar w:fldCharType="begin"/>
      </w:r>
      <w:r>
        <w:rPr>
          <w:highlight w:val="none"/>
        </w:rPr>
        <w:instrText xml:space="preserve"> PAGEREF _Toc201407671 \h </w:instrText>
      </w:r>
      <w:r>
        <w:rPr>
          <w:highlight w:val="none"/>
        </w:rPr>
        <w:fldChar w:fldCharType="separate"/>
      </w:r>
      <w:r>
        <w:rPr>
          <w:highlight w:val="none"/>
        </w:rPr>
        <w:t>1</w:t>
      </w:r>
      <w:r>
        <w:rPr>
          <w:highlight w:val="none"/>
        </w:rPr>
        <w:fldChar w:fldCharType="end"/>
      </w:r>
      <w:r>
        <w:rPr>
          <w:highlight w:val="none"/>
        </w:rPr>
        <w:fldChar w:fldCharType="end"/>
      </w:r>
    </w:p>
    <w:p w14:paraId="43FB687F">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"_Toc201407672" </w:instrText>
      </w:r>
      <w:r>
        <w:rPr>
          <w:highlight w:val="none"/>
        </w:rPr>
        <w:fldChar w:fldCharType="separate"/>
      </w:r>
      <w:r>
        <w:rPr>
          <w:rStyle w:val="19"/>
          <w:highlight w:val="none"/>
        </w:rPr>
        <w:t>（三）职业技能等级证书</w:t>
      </w:r>
      <w:r>
        <w:rPr>
          <w:highlight w:val="none"/>
        </w:rPr>
        <w:tab/>
      </w:r>
      <w:r>
        <w:rPr>
          <w:highlight w:val="none"/>
        </w:rPr>
        <w:fldChar w:fldCharType="begin"/>
      </w:r>
      <w:r>
        <w:rPr>
          <w:highlight w:val="none"/>
        </w:rPr>
        <w:instrText xml:space="preserve"> PAGEREF _Toc201407672 \h </w:instrText>
      </w:r>
      <w:r>
        <w:rPr>
          <w:highlight w:val="none"/>
        </w:rPr>
        <w:fldChar w:fldCharType="separate"/>
      </w:r>
      <w:r>
        <w:rPr>
          <w:highlight w:val="none"/>
        </w:rPr>
        <w:t>2</w:t>
      </w:r>
      <w:r>
        <w:rPr>
          <w:highlight w:val="none"/>
        </w:rPr>
        <w:fldChar w:fldCharType="end"/>
      </w:r>
      <w:r>
        <w:rPr>
          <w:highlight w:val="none"/>
        </w:rPr>
        <w:fldChar w:fldCharType="end"/>
      </w:r>
    </w:p>
    <w:p w14:paraId="1EE4B5E4">
      <w:pPr>
        <w:pStyle w:val="12"/>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"_Toc201407673" </w:instrText>
      </w:r>
      <w:r>
        <w:rPr>
          <w:highlight w:val="none"/>
        </w:rPr>
        <w:fldChar w:fldCharType="separate"/>
      </w:r>
      <w:r>
        <w:rPr>
          <w:rStyle w:val="19"/>
          <w:highlight w:val="none"/>
        </w:rPr>
        <w:t>五、培养目标及规格</w:t>
      </w:r>
      <w:r>
        <w:rPr>
          <w:highlight w:val="none"/>
        </w:rPr>
        <w:tab/>
      </w:r>
      <w:r>
        <w:rPr>
          <w:highlight w:val="none"/>
        </w:rPr>
        <w:fldChar w:fldCharType="begin"/>
      </w:r>
      <w:r>
        <w:rPr>
          <w:highlight w:val="none"/>
        </w:rPr>
        <w:instrText xml:space="preserve"> PAGEREF _Toc201407673 \h </w:instrText>
      </w:r>
      <w:r>
        <w:rPr>
          <w:highlight w:val="none"/>
        </w:rPr>
        <w:fldChar w:fldCharType="separate"/>
      </w:r>
      <w:r>
        <w:rPr>
          <w:highlight w:val="none"/>
        </w:rPr>
        <w:t>3</w:t>
      </w:r>
      <w:r>
        <w:rPr>
          <w:highlight w:val="none"/>
        </w:rPr>
        <w:fldChar w:fldCharType="end"/>
      </w:r>
      <w:r>
        <w:rPr>
          <w:highlight w:val="none"/>
        </w:rPr>
        <w:fldChar w:fldCharType="end"/>
      </w:r>
    </w:p>
    <w:p w14:paraId="4722B8EE">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"_Toc201407674" </w:instrText>
      </w:r>
      <w:r>
        <w:rPr>
          <w:highlight w:val="none"/>
        </w:rPr>
        <w:fldChar w:fldCharType="separate"/>
      </w:r>
      <w:r>
        <w:rPr>
          <w:rStyle w:val="19"/>
          <w:highlight w:val="none"/>
        </w:rPr>
        <w:t>（一）培养目标</w:t>
      </w:r>
      <w:r>
        <w:rPr>
          <w:highlight w:val="none"/>
        </w:rPr>
        <w:tab/>
      </w:r>
      <w:r>
        <w:rPr>
          <w:highlight w:val="none"/>
        </w:rPr>
        <w:fldChar w:fldCharType="begin"/>
      </w:r>
      <w:r>
        <w:rPr>
          <w:highlight w:val="none"/>
        </w:rPr>
        <w:instrText xml:space="preserve"> PAGEREF _Toc201407674 \h </w:instrText>
      </w:r>
      <w:r>
        <w:rPr>
          <w:highlight w:val="none"/>
        </w:rPr>
        <w:fldChar w:fldCharType="separate"/>
      </w:r>
      <w:r>
        <w:rPr>
          <w:highlight w:val="none"/>
        </w:rPr>
        <w:t>3</w:t>
      </w:r>
      <w:r>
        <w:rPr>
          <w:highlight w:val="none"/>
        </w:rPr>
        <w:fldChar w:fldCharType="end"/>
      </w:r>
      <w:r>
        <w:rPr>
          <w:highlight w:val="none"/>
        </w:rPr>
        <w:fldChar w:fldCharType="end"/>
      </w:r>
    </w:p>
    <w:p w14:paraId="1A1D58C8">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"_Toc201407675" </w:instrText>
      </w:r>
      <w:r>
        <w:rPr>
          <w:highlight w:val="none"/>
        </w:rPr>
        <w:fldChar w:fldCharType="separate"/>
      </w:r>
      <w:r>
        <w:rPr>
          <w:rStyle w:val="19"/>
          <w:highlight w:val="none"/>
        </w:rPr>
        <w:t>（二）培养规格</w:t>
      </w:r>
      <w:r>
        <w:rPr>
          <w:highlight w:val="none"/>
        </w:rPr>
        <w:tab/>
      </w:r>
      <w:r>
        <w:rPr>
          <w:highlight w:val="none"/>
        </w:rPr>
        <w:fldChar w:fldCharType="begin"/>
      </w:r>
      <w:r>
        <w:rPr>
          <w:highlight w:val="none"/>
        </w:rPr>
        <w:instrText xml:space="preserve"> PAGEREF _Toc201407675 \h </w:instrText>
      </w:r>
      <w:r>
        <w:rPr>
          <w:highlight w:val="none"/>
        </w:rPr>
        <w:fldChar w:fldCharType="separate"/>
      </w:r>
      <w:r>
        <w:rPr>
          <w:highlight w:val="none"/>
        </w:rPr>
        <w:t>3</w:t>
      </w:r>
      <w:r>
        <w:rPr>
          <w:highlight w:val="none"/>
        </w:rPr>
        <w:fldChar w:fldCharType="end"/>
      </w:r>
      <w:r>
        <w:rPr>
          <w:highlight w:val="none"/>
        </w:rPr>
        <w:fldChar w:fldCharType="end"/>
      </w:r>
    </w:p>
    <w:p w14:paraId="72E3ADB8">
      <w:pPr>
        <w:pStyle w:val="12"/>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"_Toc201407676" </w:instrText>
      </w:r>
      <w:r>
        <w:rPr>
          <w:highlight w:val="none"/>
        </w:rPr>
        <w:fldChar w:fldCharType="separate"/>
      </w:r>
      <w:r>
        <w:rPr>
          <w:rStyle w:val="19"/>
          <w:highlight w:val="none"/>
        </w:rPr>
        <w:t>六、课程设置及要求</w:t>
      </w:r>
      <w:r>
        <w:rPr>
          <w:highlight w:val="none"/>
        </w:rPr>
        <w:tab/>
      </w:r>
      <w:r>
        <w:rPr>
          <w:highlight w:val="none"/>
        </w:rPr>
        <w:fldChar w:fldCharType="begin"/>
      </w:r>
      <w:r>
        <w:rPr>
          <w:highlight w:val="none"/>
        </w:rPr>
        <w:instrText xml:space="preserve"> PAGEREF _Toc201407676 \h </w:instrText>
      </w:r>
      <w:r>
        <w:rPr>
          <w:highlight w:val="none"/>
        </w:rPr>
        <w:fldChar w:fldCharType="separate"/>
      </w:r>
      <w:r>
        <w:rPr>
          <w:highlight w:val="none"/>
        </w:rPr>
        <w:t>4</w:t>
      </w:r>
      <w:r>
        <w:rPr>
          <w:highlight w:val="none"/>
        </w:rPr>
        <w:fldChar w:fldCharType="end"/>
      </w:r>
      <w:r>
        <w:rPr>
          <w:highlight w:val="none"/>
        </w:rPr>
        <w:fldChar w:fldCharType="end"/>
      </w:r>
    </w:p>
    <w:p w14:paraId="238C6D79">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"_Toc201407677" </w:instrText>
      </w:r>
      <w:r>
        <w:rPr>
          <w:highlight w:val="none"/>
        </w:rPr>
        <w:fldChar w:fldCharType="separate"/>
      </w:r>
      <w:r>
        <w:rPr>
          <w:rStyle w:val="19"/>
          <w:highlight w:val="none"/>
        </w:rPr>
        <w:t>（一）公共基础课程</w:t>
      </w:r>
      <w:r>
        <w:rPr>
          <w:highlight w:val="none"/>
        </w:rPr>
        <w:tab/>
      </w:r>
      <w:r>
        <w:rPr>
          <w:highlight w:val="none"/>
        </w:rPr>
        <w:fldChar w:fldCharType="begin"/>
      </w:r>
      <w:r>
        <w:rPr>
          <w:highlight w:val="none"/>
        </w:rPr>
        <w:instrText xml:space="preserve"> PAGEREF _Toc201407677 \h </w:instrText>
      </w:r>
      <w:r>
        <w:rPr>
          <w:highlight w:val="none"/>
        </w:rPr>
        <w:fldChar w:fldCharType="separate"/>
      </w:r>
      <w:r>
        <w:rPr>
          <w:highlight w:val="none"/>
        </w:rPr>
        <w:t>4</w:t>
      </w:r>
      <w:r>
        <w:rPr>
          <w:highlight w:val="none"/>
        </w:rPr>
        <w:fldChar w:fldCharType="end"/>
      </w:r>
      <w:r>
        <w:rPr>
          <w:highlight w:val="none"/>
        </w:rPr>
        <w:fldChar w:fldCharType="end"/>
      </w:r>
    </w:p>
    <w:p w14:paraId="5D5077B9">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"_Toc201407678" </w:instrText>
      </w:r>
      <w:r>
        <w:rPr>
          <w:highlight w:val="none"/>
        </w:rPr>
        <w:fldChar w:fldCharType="separate"/>
      </w:r>
      <w:r>
        <w:rPr>
          <w:rStyle w:val="19"/>
          <w:highlight w:val="none"/>
        </w:rPr>
        <w:t>（二）专业（技能）课程</w:t>
      </w:r>
      <w:r>
        <w:rPr>
          <w:highlight w:val="none"/>
        </w:rPr>
        <w:tab/>
      </w:r>
      <w:r>
        <w:rPr>
          <w:highlight w:val="none"/>
        </w:rPr>
        <w:fldChar w:fldCharType="begin"/>
      </w:r>
      <w:r>
        <w:rPr>
          <w:highlight w:val="none"/>
        </w:rPr>
        <w:instrText xml:space="preserve"> PAGEREF _Toc201407678 \h </w:instrText>
      </w:r>
      <w:r>
        <w:rPr>
          <w:highlight w:val="none"/>
        </w:rPr>
        <w:fldChar w:fldCharType="separate"/>
      </w:r>
      <w:r>
        <w:rPr>
          <w:highlight w:val="none"/>
        </w:rPr>
        <w:t>8</w:t>
      </w:r>
      <w:r>
        <w:rPr>
          <w:highlight w:val="none"/>
        </w:rPr>
        <w:fldChar w:fldCharType="end"/>
      </w:r>
      <w:r>
        <w:rPr>
          <w:highlight w:val="none"/>
        </w:rPr>
        <w:fldChar w:fldCharType="end"/>
      </w:r>
    </w:p>
    <w:p w14:paraId="730DD9F5">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"_Toc201407679" </w:instrText>
      </w:r>
      <w:r>
        <w:rPr>
          <w:highlight w:val="none"/>
        </w:rPr>
        <w:fldChar w:fldCharType="separate"/>
      </w:r>
      <w:r>
        <w:rPr>
          <w:rStyle w:val="19"/>
          <w:highlight w:val="none"/>
        </w:rPr>
        <w:t>（三）实践性教学环节</w:t>
      </w:r>
      <w:r>
        <w:rPr>
          <w:highlight w:val="none"/>
        </w:rPr>
        <w:tab/>
      </w:r>
      <w:r>
        <w:rPr>
          <w:highlight w:val="none"/>
        </w:rPr>
        <w:fldChar w:fldCharType="begin"/>
      </w:r>
      <w:r>
        <w:rPr>
          <w:highlight w:val="none"/>
        </w:rPr>
        <w:instrText xml:space="preserve"> PAGEREF _Toc201407679 \h </w:instrText>
      </w:r>
      <w:r>
        <w:rPr>
          <w:highlight w:val="none"/>
        </w:rPr>
        <w:fldChar w:fldCharType="separate"/>
      </w:r>
      <w:r>
        <w:rPr>
          <w:highlight w:val="none"/>
        </w:rPr>
        <w:t>13</w:t>
      </w:r>
      <w:r>
        <w:rPr>
          <w:highlight w:val="none"/>
        </w:rPr>
        <w:fldChar w:fldCharType="end"/>
      </w:r>
      <w:r>
        <w:rPr>
          <w:highlight w:val="none"/>
        </w:rPr>
        <w:fldChar w:fldCharType="end"/>
      </w:r>
    </w:p>
    <w:p w14:paraId="756F7F77">
      <w:pPr>
        <w:pStyle w:val="12"/>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"_Toc201407680" </w:instrText>
      </w:r>
      <w:r>
        <w:rPr>
          <w:highlight w:val="none"/>
        </w:rPr>
        <w:fldChar w:fldCharType="separate"/>
      </w:r>
      <w:r>
        <w:rPr>
          <w:rStyle w:val="19"/>
          <w:highlight w:val="none"/>
        </w:rPr>
        <w:t>七、教学进程总体安排</w:t>
      </w:r>
      <w:r>
        <w:rPr>
          <w:highlight w:val="none"/>
        </w:rPr>
        <w:tab/>
      </w:r>
      <w:r>
        <w:rPr>
          <w:highlight w:val="none"/>
        </w:rPr>
        <w:fldChar w:fldCharType="begin"/>
      </w:r>
      <w:r>
        <w:rPr>
          <w:highlight w:val="none"/>
        </w:rPr>
        <w:instrText xml:space="preserve"> PAGEREF _Toc201407680 \h </w:instrText>
      </w:r>
      <w:r>
        <w:rPr>
          <w:highlight w:val="none"/>
        </w:rPr>
        <w:fldChar w:fldCharType="separate"/>
      </w:r>
      <w:r>
        <w:rPr>
          <w:highlight w:val="none"/>
        </w:rPr>
        <w:t>15</w:t>
      </w:r>
      <w:r>
        <w:rPr>
          <w:highlight w:val="none"/>
        </w:rPr>
        <w:fldChar w:fldCharType="end"/>
      </w:r>
      <w:r>
        <w:rPr>
          <w:highlight w:val="none"/>
        </w:rPr>
        <w:fldChar w:fldCharType="end"/>
      </w:r>
    </w:p>
    <w:p w14:paraId="5179F4FC">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"_Toc201407681" </w:instrText>
      </w:r>
      <w:r>
        <w:rPr>
          <w:highlight w:val="none"/>
        </w:rPr>
        <w:fldChar w:fldCharType="separate"/>
      </w:r>
      <w:r>
        <w:rPr>
          <w:rStyle w:val="19"/>
          <w:highlight w:val="none"/>
        </w:rPr>
        <w:t>（一）教学进程安排表</w:t>
      </w:r>
      <w:r>
        <w:rPr>
          <w:highlight w:val="none"/>
        </w:rPr>
        <w:tab/>
      </w:r>
      <w:r>
        <w:rPr>
          <w:highlight w:val="none"/>
        </w:rPr>
        <w:fldChar w:fldCharType="begin"/>
      </w:r>
      <w:r>
        <w:rPr>
          <w:highlight w:val="none"/>
        </w:rPr>
        <w:instrText xml:space="preserve"> PAGEREF _Toc201407681 \h </w:instrText>
      </w:r>
      <w:r>
        <w:rPr>
          <w:highlight w:val="none"/>
        </w:rPr>
        <w:fldChar w:fldCharType="separate"/>
      </w:r>
      <w:r>
        <w:rPr>
          <w:highlight w:val="none"/>
        </w:rPr>
        <w:t>15</w:t>
      </w:r>
      <w:r>
        <w:rPr>
          <w:highlight w:val="none"/>
        </w:rPr>
        <w:fldChar w:fldCharType="end"/>
      </w:r>
      <w:r>
        <w:rPr>
          <w:highlight w:val="none"/>
        </w:rPr>
        <w:fldChar w:fldCharType="end"/>
      </w:r>
    </w:p>
    <w:p w14:paraId="4EB85205">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"_Toc201407682" </w:instrText>
      </w:r>
      <w:r>
        <w:rPr>
          <w:highlight w:val="none"/>
        </w:rPr>
        <w:fldChar w:fldCharType="separate"/>
      </w:r>
      <w:r>
        <w:rPr>
          <w:rStyle w:val="19"/>
          <w:highlight w:val="none"/>
        </w:rPr>
        <w:t>（二）各类课程学时分配</w:t>
      </w:r>
      <w:r>
        <w:rPr>
          <w:highlight w:val="none"/>
        </w:rPr>
        <w:tab/>
      </w:r>
      <w:r>
        <w:rPr>
          <w:highlight w:val="none"/>
        </w:rPr>
        <w:fldChar w:fldCharType="begin"/>
      </w:r>
      <w:r>
        <w:rPr>
          <w:highlight w:val="none"/>
        </w:rPr>
        <w:instrText xml:space="preserve"> PAGEREF _Toc201407682 \h </w:instrText>
      </w:r>
      <w:r>
        <w:rPr>
          <w:highlight w:val="none"/>
        </w:rPr>
        <w:fldChar w:fldCharType="separate"/>
      </w:r>
      <w:r>
        <w:rPr>
          <w:highlight w:val="none"/>
        </w:rPr>
        <w:t>22</w:t>
      </w:r>
      <w:r>
        <w:rPr>
          <w:highlight w:val="none"/>
        </w:rPr>
        <w:fldChar w:fldCharType="end"/>
      </w:r>
      <w:r>
        <w:rPr>
          <w:highlight w:val="none"/>
        </w:rPr>
        <w:fldChar w:fldCharType="end"/>
      </w:r>
    </w:p>
    <w:p w14:paraId="102F67EE">
      <w:pPr>
        <w:pStyle w:val="12"/>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"_Toc201407683" </w:instrText>
      </w:r>
      <w:r>
        <w:rPr>
          <w:highlight w:val="none"/>
        </w:rPr>
        <w:fldChar w:fldCharType="separate"/>
      </w:r>
      <w:r>
        <w:rPr>
          <w:rStyle w:val="19"/>
          <w:highlight w:val="none"/>
        </w:rPr>
        <w:t>八、实施保障</w:t>
      </w:r>
      <w:r>
        <w:rPr>
          <w:highlight w:val="none"/>
        </w:rPr>
        <w:tab/>
      </w:r>
      <w:r>
        <w:rPr>
          <w:highlight w:val="none"/>
        </w:rPr>
        <w:fldChar w:fldCharType="begin"/>
      </w:r>
      <w:r>
        <w:rPr>
          <w:highlight w:val="none"/>
        </w:rPr>
        <w:instrText xml:space="preserve"> PAGEREF _Toc201407683 \h </w:instrText>
      </w:r>
      <w:r>
        <w:rPr>
          <w:highlight w:val="none"/>
        </w:rPr>
        <w:fldChar w:fldCharType="separate"/>
      </w:r>
      <w:r>
        <w:rPr>
          <w:highlight w:val="none"/>
        </w:rPr>
        <w:t>23</w:t>
      </w:r>
      <w:r>
        <w:rPr>
          <w:highlight w:val="none"/>
        </w:rPr>
        <w:fldChar w:fldCharType="end"/>
      </w:r>
      <w:r>
        <w:rPr>
          <w:highlight w:val="none"/>
        </w:rPr>
        <w:fldChar w:fldCharType="end"/>
      </w:r>
    </w:p>
    <w:p w14:paraId="05B2CE56">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"_Toc201407684" </w:instrText>
      </w:r>
      <w:r>
        <w:rPr>
          <w:highlight w:val="none"/>
        </w:rPr>
        <w:fldChar w:fldCharType="separate"/>
      </w:r>
      <w:r>
        <w:rPr>
          <w:rStyle w:val="19"/>
          <w:highlight w:val="none"/>
        </w:rPr>
        <w:t>（一）师资队伍</w:t>
      </w:r>
      <w:r>
        <w:rPr>
          <w:highlight w:val="none"/>
        </w:rPr>
        <w:tab/>
      </w:r>
      <w:r>
        <w:rPr>
          <w:highlight w:val="none"/>
        </w:rPr>
        <w:fldChar w:fldCharType="begin"/>
      </w:r>
      <w:r>
        <w:rPr>
          <w:highlight w:val="none"/>
        </w:rPr>
        <w:instrText xml:space="preserve"> PAGEREF _Toc201407684 \h </w:instrText>
      </w:r>
      <w:r>
        <w:rPr>
          <w:highlight w:val="none"/>
        </w:rPr>
        <w:fldChar w:fldCharType="separate"/>
      </w:r>
      <w:r>
        <w:rPr>
          <w:highlight w:val="none"/>
        </w:rPr>
        <w:t>23</w:t>
      </w:r>
      <w:r>
        <w:rPr>
          <w:highlight w:val="none"/>
        </w:rPr>
        <w:fldChar w:fldCharType="end"/>
      </w:r>
      <w:r>
        <w:rPr>
          <w:highlight w:val="none"/>
        </w:rPr>
        <w:fldChar w:fldCharType="end"/>
      </w:r>
    </w:p>
    <w:p w14:paraId="37A2678C">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"_Toc201407685" </w:instrText>
      </w:r>
      <w:r>
        <w:rPr>
          <w:highlight w:val="none"/>
        </w:rPr>
        <w:fldChar w:fldCharType="separate"/>
      </w:r>
      <w:r>
        <w:rPr>
          <w:rStyle w:val="19"/>
          <w:highlight w:val="none"/>
        </w:rPr>
        <w:t>（二）教学设施</w:t>
      </w:r>
      <w:r>
        <w:rPr>
          <w:highlight w:val="none"/>
        </w:rPr>
        <w:tab/>
      </w:r>
      <w:r>
        <w:rPr>
          <w:highlight w:val="none"/>
        </w:rPr>
        <w:fldChar w:fldCharType="begin"/>
      </w:r>
      <w:r>
        <w:rPr>
          <w:highlight w:val="none"/>
        </w:rPr>
        <w:instrText xml:space="preserve"> PAGEREF _Toc201407685 \h </w:instrText>
      </w:r>
      <w:r>
        <w:rPr>
          <w:highlight w:val="none"/>
        </w:rPr>
        <w:fldChar w:fldCharType="separate"/>
      </w:r>
      <w:r>
        <w:rPr>
          <w:highlight w:val="none"/>
        </w:rPr>
        <w:t>24</w:t>
      </w:r>
      <w:r>
        <w:rPr>
          <w:highlight w:val="none"/>
        </w:rPr>
        <w:fldChar w:fldCharType="end"/>
      </w:r>
      <w:r>
        <w:rPr>
          <w:highlight w:val="none"/>
        </w:rPr>
        <w:fldChar w:fldCharType="end"/>
      </w:r>
    </w:p>
    <w:p w14:paraId="6C6B4970">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"_Toc201407686" </w:instrText>
      </w:r>
      <w:r>
        <w:rPr>
          <w:highlight w:val="none"/>
        </w:rPr>
        <w:fldChar w:fldCharType="separate"/>
      </w:r>
      <w:r>
        <w:rPr>
          <w:rStyle w:val="19"/>
          <w:highlight w:val="none"/>
        </w:rPr>
        <w:t>（三）教学资源</w:t>
      </w:r>
      <w:r>
        <w:rPr>
          <w:highlight w:val="none"/>
        </w:rPr>
        <w:tab/>
      </w:r>
      <w:r>
        <w:rPr>
          <w:highlight w:val="none"/>
        </w:rPr>
        <w:fldChar w:fldCharType="begin"/>
      </w:r>
      <w:r>
        <w:rPr>
          <w:highlight w:val="none"/>
        </w:rPr>
        <w:instrText xml:space="preserve"> PAGEREF _Toc201407686 \h </w:instrText>
      </w:r>
      <w:r>
        <w:rPr>
          <w:highlight w:val="none"/>
        </w:rPr>
        <w:fldChar w:fldCharType="separate"/>
      </w:r>
      <w:r>
        <w:rPr>
          <w:highlight w:val="none"/>
        </w:rPr>
        <w:t>25</w:t>
      </w:r>
      <w:r>
        <w:rPr>
          <w:highlight w:val="none"/>
        </w:rPr>
        <w:fldChar w:fldCharType="end"/>
      </w:r>
      <w:r>
        <w:rPr>
          <w:highlight w:val="none"/>
        </w:rPr>
        <w:fldChar w:fldCharType="end"/>
      </w:r>
    </w:p>
    <w:p w14:paraId="6AED36E2">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"_Toc201407687" </w:instrText>
      </w:r>
      <w:r>
        <w:rPr>
          <w:highlight w:val="none"/>
        </w:rPr>
        <w:fldChar w:fldCharType="separate"/>
      </w:r>
      <w:r>
        <w:rPr>
          <w:rStyle w:val="19"/>
          <w:highlight w:val="none"/>
        </w:rPr>
        <w:t>（四）教学方法</w:t>
      </w:r>
      <w:r>
        <w:rPr>
          <w:highlight w:val="none"/>
        </w:rPr>
        <w:tab/>
      </w:r>
      <w:r>
        <w:rPr>
          <w:highlight w:val="none"/>
        </w:rPr>
        <w:fldChar w:fldCharType="begin"/>
      </w:r>
      <w:r>
        <w:rPr>
          <w:highlight w:val="none"/>
        </w:rPr>
        <w:instrText xml:space="preserve"> PAGEREF _Toc201407687 \h </w:instrText>
      </w:r>
      <w:r>
        <w:rPr>
          <w:highlight w:val="none"/>
        </w:rPr>
        <w:fldChar w:fldCharType="separate"/>
      </w:r>
      <w:r>
        <w:rPr>
          <w:highlight w:val="none"/>
        </w:rPr>
        <w:t>26</w:t>
      </w:r>
      <w:r>
        <w:rPr>
          <w:highlight w:val="none"/>
        </w:rPr>
        <w:fldChar w:fldCharType="end"/>
      </w:r>
      <w:r>
        <w:rPr>
          <w:highlight w:val="none"/>
        </w:rPr>
        <w:fldChar w:fldCharType="end"/>
      </w:r>
    </w:p>
    <w:p w14:paraId="295F7D34">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"_Toc201407688" </w:instrText>
      </w:r>
      <w:r>
        <w:rPr>
          <w:highlight w:val="none"/>
        </w:rPr>
        <w:fldChar w:fldCharType="separate"/>
      </w:r>
      <w:r>
        <w:rPr>
          <w:rStyle w:val="19"/>
          <w:highlight w:val="none"/>
        </w:rPr>
        <w:t>（五）学习评价</w:t>
      </w:r>
      <w:r>
        <w:rPr>
          <w:highlight w:val="none"/>
        </w:rPr>
        <w:tab/>
      </w:r>
      <w:r>
        <w:rPr>
          <w:highlight w:val="none"/>
        </w:rPr>
        <w:fldChar w:fldCharType="begin"/>
      </w:r>
      <w:r>
        <w:rPr>
          <w:highlight w:val="none"/>
        </w:rPr>
        <w:instrText xml:space="preserve"> PAGEREF _Toc201407688 \h </w:instrText>
      </w:r>
      <w:r>
        <w:rPr>
          <w:highlight w:val="none"/>
        </w:rPr>
        <w:fldChar w:fldCharType="separate"/>
      </w:r>
      <w:r>
        <w:rPr>
          <w:highlight w:val="none"/>
        </w:rPr>
        <w:t>27</w:t>
      </w:r>
      <w:r>
        <w:rPr>
          <w:highlight w:val="none"/>
        </w:rPr>
        <w:fldChar w:fldCharType="end"/>
      </w:r>
      <w:r>
        <w:rPr>
          <w:highlight w:val="none"/>
        </w:rPr>
        <w:fldChar w:fldCharType="end"/>
      </w:r>
    </w:p>
    <w:p w14:paraId="4F530C88">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"_Toc201407689" </w:instrText>
      </w:r>
      <w:r>
        <w:rPr>
          <w:highlight w:val="none"/>
        </w:rPr>
        <w:fldChar w:fldCharType="separate"/>
      </w:r>
      <w:r>
        <w:rPr>
          <w:rStyle w:val="19"/>
          <w:highlight w:val="none"/>
        </w:rPr>
        <w:t>（六）质量管理</w:t>
      </w:r>
      <w:r>
        <w:rPr>
          <w:highlight w:val="none"/>
        </w:rPr>
        <w:tab/>
      </w:r>
      <w:r>
        <w:rPr>
          <w:highlight w:val="none"/>
        </w:rPr>
        <w:fldChar w:fldCharType="begin"/>
      </w:r>
      <w:r>
        <w:rPr>
          <w:highlight w:val="none"/>
        </w:rPr>
        <w:instrText xml:space="preserve"> PAGEREF _Toc201407689 \h </w:instrText>
      </w:r>
      <w:r>
        <w:rPr>
          <w:highlight w:val="none"/>
        </w:rPr>
        <w:fldChar w:fldCharType="separate"/>
      </w:r>
      <w:r>
        <w:rPr>
          <w:highlight w:val="none"/>
        </w:rPr>
        <w:t>28</w:t>
      </w:r>
      <w:r>
        <w:rPr>
          <w:highlight w:val="none"/>
        </w:rPr>
        <w:fldChar w:fldCharType="end"/>
      </w:r>
      <w:r>
        <w:rPr>
          <w:highlight w:val="none"/>
        </w:rPr>
        <w:fldChar w:fldCharType="end"/>
      </w:r>
    </w:p>
    <w:p w14:paraId="401492AD">
      <w:pPr>
        <w:pStyle w:val="12"/>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"_Toc201407690" </w:instrText>
      </w:r>
      <w:r>
        <w:rPr>
          <w:highlight w:val="none"/>
        </w:rPr>
        <w:fldChar w:fldCharType="separate"/>
      </w:r>
      <w:r>
        <w:rPr>
          <w:rStyle w:val="19"/>
          <w:highlight w:val="none"/>
        </w:rPr>
        <w:t>九、毕业要求</w:t>
      </w:r>
      <w:r>
        <w:rPr>
          <w:highlight w:val="none"/>
        </w:rPr>
        <w:tab/>
      </w:r>
      <w:r>
        <w:rPr>
          <w:highlight w:val="none"/>
        </w:rPr>
        <w:fldChar w:fldCharType="begin"/>
      </w:r>
      <w:r>
        <w:rPr>
          <w:highlight w:val="none"/>
        </w:rPr>
        <w:instrText xml:space="preserve"> PAGEREF _Toc201407690 \h </w:instrText>
      </w:r>
      <w:r>
        <w:rPr>
          <w:highlight w:val="none"/>
        </w:rPr>
        <w:fldChar w:fldCharType="separate"/>
      </w:r>
      <w:r>
        <w:rPr>
          <w:highlight w:val="none"/>
        </w:rPr>
        <w:t>29</w:t>
      </w:r>
      <w:r>
        <w:rPr>
          <w:highlight w:val="none"/>
        </w:rPr>
        <w:fldChar w:fldCharType="end"/>
      </w:r>
      <w:r>
        <w:rPr>
          <w:highlight w:val="none"/>
        </w:rPr>
        <w:fldChar w:fldCharType="end"/>
      </w:r>
    </w:p>
    <w:p w14:paraId="704BC572">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"_Toc201407691" </w:instrText>
      </w:r>
      <w:r>
        <w:rPr>
          <w:highlight w:val="none"/>
        </w:rPr>
        <w:fldChar w:fldCharType="separate"/>
      </w:r>
      <w:r>
        <w:rPr>
          <w:rStyle w:val="19"/>
          <w:highlight w:val="none"/>
        </w:rPr>
        <w:t>（一）学时要求</w:t>
      </w:r>
      <w:r>
        <w:rPr>
          <w:highlight w:val="none"/>
        </w:rPr>
        <w:tab/>
      </w:r>
      <w:r>
        <w:rPr>
          <w:highlight w:val="none"/>
        </w:rPr>
        <w:fldChar w:fldCharType="begin"/>
      </w:r>
      <w:r>
        <w:rPr>
          <w:highlight w:val="none"/>
        </w:rPr>
        <w:instrText xml:space="preserve"> PAGEREF _Toc201407691 \h </w:instrText>
      </w:r>
      <w:r>
        <w:rPr>
          <w:highlight w:val="none"/>
        </w:rPr>
        <w:fldChar w:fldCharType="separate"/>
      </w:r>
      <w:r>
        <w:rPr>
          <w:highlight w:val="none"/>
        </w:rPr>
        <w:t>29</w:t>
      </w:r>
      <w:r>
        <w:rPr>
          <w:highlight w:val="none"/>
        </w:rPr>
        <w:fldChar w:fldCharType="end"/>
      </w:r>
      <w:r>
        <w:rPr>
          <w:highlight w:val="none"/>
        </w:rPr>
        <w:fldChar w:fldCharType="end"/>
      </w:r>
    </w:p>
    <w:p w14:paraId="25E29503">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"_Toc201407692" </w:instrText>
      </w:r>
      <w:r>
        <w:rPr>
          <w:highlight w:val="none"/>
        </w:rPr>
        <w:fldChar w:fldCharType="separate"/>
      </w:r>
      <w:r>
        <w:rPr>
          <w:rStyle w:val="19"/>
          <w:highlight w:val="none"/>
        </w:rPr>
        <w:t>（二）学分要求</w:t>
      </w:r>
      <w:r>
        <w:rPr>
          <w:highlight w:val="none"/>
        </w:rPr>
        <w:tab/>
      </w:r>
      <w:r>
        <w:rPr>
          <w:highlight w:val="none"/>
        </w:rPr>
        <w:fldChar w:fldCharType="begin"/>
      </w:r>
      <w:r>
        <w:rPr>
          <w:highlight w:val="none"/>
        </w:rPr>
        <w:instrText xml:space="preserve"> PAGEREF _Toc201407692 \h </w:instrText>
      </w:r>
      <w:r>
        <w:rPr>
          <w:highlight w:val="none"/>
        </w:rPr>
        <w:fldChar w:fldCharType="separate"/>
      </w:r>
      <w:r>
        <w:rPr>
          <w:highlight w:val="none"/>
        </w:rPr>
        <w:t>29</w:t>
      </w:r>
      <w:r>
        <w:rPr>
          <w:highlight w:val="none"/>
        </w:rPr>
        <w:fldChar w:fldCharType="end"/>
      </w:r>
      <w:r>
        <w:rPr>
          <w:highlight w:val="none"/>
        </w:rPr>
        <w:fldChar w:fldCharType="end"/>
      </w:r>
    </w:p>
    <w:p w14:paraId="007B4B77">
      <w:pPr>
        <w:pStyle w:val="13"/>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"_Toc201407693" </w:instrText>
      </w:r>
      <w:r>
        <w:rPr>
          <w:highlight w:val="none"/>
        </w:rPr>
        <w:fldChar w:fldCharType="separate"/>
      </w:r>
      <w:r>
        <w:rPr>
          <w:rStyle w:val="19"/>
          <w:highlight w:val="none"/>
        </w:rPr>
        <w:t>（三）证书要求</w:t>
      </w:r>
      <w:r>
        <w:rPr>
          <w:highlight w:val="none"/>
        </w:rPr>
        <w:tab/>
      </w:r>
      <w:r>
        <w:rPr>
          <w:highlight w:val="none"/>
        </w:rPr>
        <w:fldChar w:fldCharType="begin"/>
      </w:r>
      <w:r>
        <w:rPr>
          <w:highlight w:val="none"/>
        </w:rPr>
        <w:instrText xml:space="preserve"> PAGEREF _Toc201407693 \h </w:instrText>
      </w:r>
      <w:r>
        <w:rPr>
          <w:highlight w:val="none"/>
        </w:rPr>
        <w:fldChar w:fldCharType="separate"/>
      </w:r>
      <w:r>
        <w:rPr>
          <w:highlight w:val="none"/>
        </w:rPr>
        <w:t>29</w:t>
      </w:r>
      <w:r>
        <w:rPr>
          <w:highlight w:val="none"/>
        </w:rPr>
        <w:fldChar w:fldCharType="end"/>
      </w:r>
      <w:r>
        <w:rPr>
          <w:highlight w:val="none"/>
        </w:rPr>
        <w:fldChar w:fldCharType="end"/>
      </w:r>
    </w:p>
    <w:p w14:paraId="150AD0A0">
      <w:pPr>
        <w:pStyle w:val="12"/>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"_Toc201407694" </w:instrText>
      </w:r>
      <w:r>
        <w:rPr>
          <w:highlight w:val="none"/>
        </w:rPr>
        <w:fldChar w:fldCharType="separate"/>
      </w:r>
      <w:r>
        <w:rPr>
          <w:rStyle w:val="19"/>
          <w:highlight w:val="none"/>
        </w:rPr>
        <w:t>十、方案编制人员信息表</w:t>
      </w:r>
      <w:r>
        <w:rPr>
          <w:highlight w:val="none"/>
        </w:rPr>
        <w:tab/>
      </w:r>
      <w:r>
        <w:rPr>
          <w:highlight w:val="none"/>
        </w:rPr>
        <w:fldChar w:fldCharType="begin"/>
      </w:r>
      <w:r>
        <w:rPr>
          <w:highlight w:val="none"/>
        </w:rPr>
        <w:instrText xml:space="preserve"> PAGEREF _Toc201407694 \h </w:instrText>
      </w:r>
      <w:r>
        <w:rPr>
          <w:highlight w:val="none"/>
        </w:rPr>
        <w:fldChar w:fldCharType="separate"/>
      </w:r>
      <w:r>
        <w:rPr>
          <w:highlight w:val="none"/>
        </w:rPr>
        <w:t>30</w:t>
      </w:r>
      <w:r>
        <w:rPr>
          <w:highlight w:val="none"/>
        </w:rPr>
        <w:fldChar w:fldCharType="end"/>
      </w:r>
      <w:r>
        <w:rPr>
          <w:highlight w:val="none"/>
        </w:rPr>
        <w:fldChar w:fldCharType="end"/>
      </w:r>
    </w:p>
    <w:p w14:paraId="5AF24D09">
      <w:pPr>
        <w:pStyle w:val="12"/>
        <w:keepNext w:val="0"/>
        <w:keepLines w:val="0"/>
        <w:pageBreakBefore w:val="0"/>
        <w:widowControl w:val="0"/>
        <w:tabs>
          <w:tab w:val="right" w:leader="dot" w:pos="8296"/>
        </w:tabs>
        <w:kinsoku/>
        <w:wordWrap/>
        <w:overflowPunct/>
        <w:topLinePunct w:val="0"/>
        <w:autoSpaceDE/>
        <w:autoSpaceDN/>
        <w:bidi w:val="0"/>
        <w:adjustRightInd/>
        <w:snapToGrid w:val="0"/>
        <w:spacing w:line="341" w:lineRule="auto"/>
        <w:ind w:left="0" w:leftChars="0"/>
        <w:textAlignment w:val="auto"/>
        <w:rPr>
          <w:rFonts w:asciiTheme="minorHAnsi" w:hAnsiTheme="minorHAnsi" w:eastAsiaTheme="minorEastAsia" w:cstheme="minorBidi"/>
          <w:sz w:val="21"/>
          <w:highlight w:val="none"/>
        </w:rPr>
      </w:pPr>
      <w:r>
        <w:rPr>
          <w:highlight w:val="none"/>
        </w:rPr>
        <w:fldChar w:fldCharType="begin"/>
      </w:r>
      <w:r>
        <w:rPr>
          <w:highlight w:val="none"/>
        </w:rPr>
        <w:instrText xml:space="preserve"> HYPERLINK \l "_Toc201407695" </w:instrText>
      </w:r>
      <w:r>
        <w:rPr>
          <w:highlight w:val="none"/>
        </w:rPr>
        <w:fldChar w:fldCharType="separate"/>
      </w:r>
      <w:r>
        <w:rPr>
          <w:rStyle w:val="19"/>
          <w:highlight w:val="none"/>
        </w:rPr>
        <w:t>十一、附录</w:t>
      </w:r>
      <w:r>
        <w:rPr>
          <w:highlight w:val="none"/>
        </w:rPr>
        <w:tab/>
      </w:r>
      <w:r>
        <w:rPr>
          <w:highlight w:val="none"/>
        </w:rPr>
        <w:fldChar w:fldCharType="begin"/>
      </w:r>
      <w:r>
        <w:rPr>
          <w:highlight w:val="none"/>
        </w:rPr>
        <w:instrText xml:space="preserve"> PAGEREF _Toc201407695 \h </w:instrText>
      </w:r>
      <w:r>
        <w:rPr>
          <w:highlight w:val="none"/>
        </w:rPr>
        <w:fldChar w:fldCharType="separate"/>
      </w:r>
      <w:r>
        <w:rPr>
          <w:highlight w:val="none"/>
        </w:rPr>
        <w:t>31</w:t>
      </w:r>
      <w:r>
        <w:rPr>
          <w:highlight w:val="none"/>
        </w:rPr>
        <w:fldChar w:fldCharType="end"/>
      </w:r>
      <w:r>
        <w:rPr>
          <w:highlight w:val="none"/>
        </w:rPr>
        <w:fldChar w:fldCharType="end"/>
      </w:r>
    </w:p>
    <w:p w14:paraId="1FADBF9E">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Times New Roman" w:hAnsi="Times New Roman" w:eastAsia="黑体" w:cs="Times New Roman"/>
          <w:bCs/>
          <w:kern w:val="44"/>
          <w:sz w:val="24"/>
          <w:szCs w:val="24"/>
          <w:highlight w:val="none"/>
          <w:lang w:val="en-US" w:eastAsia="zh-CN" w:bidi="ar-SA"/>
        </w:rPr>
      </w:pPr>
      <w:r>
        <w:rPr>
          <w:rFonts w:eastAsia="宋体"/>
          <w:b/>
          <w:sz w:val="28"/>
          <w:highlight w:val="none"/>
        </w:rPr>
        <w:fldChar w:fldCharType="end"/>
      </w:r>
      <w:bookmarkStart w:id="7" w:name="_Toc9426"/>
      <w:bookmarkStart w:id="8" w:name="_Toc201407666"/>
      <w:bookmarkStart w:id="9" w:name="_Toc168736729"/>
      <w:r>
        <w:rPr>
          <w:rFonts w:hint="eastAsia" w:ascii="Times New Roman" w:hAnsi="Times New Roman" w:eastAsia="黑体" w:cs="Times New Roman"/>
          <w:bCs/>
          <w:kern w:val="44"/>
          <w:sz w:val="24"/>
          <w:szCs w:val="24"/>
          <w:highlight w:val="none"/>
          <w:lang w:val="en-US" w:eastAsia="zh-CN" w:bidi="ar-SA"/>
        </w:rPr>
        <w:t>一、专业名称及代码</w:t>
      </w:r>
      <w:bookmarkEnd w:id="7"/>
      <w:bookmarkEnd w:id="8"/>
      <w:bookmarkEnd w:id="9"/>
    </w:p>
    <w:p w14:paraId="679CE657">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专业大类及代码：</w:t>
      </w:r>
      <w:r>
        <w:rPr>
          <w:rFonts w:hint="eastAsia" w:ascii="仿宋_GB2312"/>
          <w:sz w:val="24"/>
          <w:szCs w:val="24"/>
          <w:highlight w:val="none"/>
          <w:lang w:val="en-US" w:eastAsia="zh-CN"/>
        </w:rPr>
        <w:t>交通运输</w:t>
      </w:r>
      <w:r>
        <w:rPr>
          <w:rFonts w:hint="eastAsia" w:ascii="仿宋_GB2312"/>
          <w:sz w:val="24"/>
          <w:szCs w:val="24"/>
          <w:highlight w:val="none"/>
        </w:rPr>
        <w:t>大类（5</w:t>
      </w:r>
      <w:r>
        <w:rPr>
          <w:rFonts w:hint="eastAsia" w:ascii="仿宋_GB2312"/>
          <w:sz w:val="24"/>
          <w:szCs w:val="24"/>
          <w:highlight w:val="none"/>
          <w:lang w:val="en-US" w:eastAsia="zh-CN"/>
        </w:rPr>
        <w:t>0</w:t>
      </w:r>
      <w:r>
        <w:rPr>
          <w:rFonts w:hint="eastAsia" w:ascii="仿宋_GB2312"/>
          <w:sz w:val="24"/>
          <w:szCs w:val="24"/>
          <w:highlight w:val="none"/>
        </w:rPr>
        <w:t>）</w:t>
      </w:r>
    </w:p>
    <w:p w14:paraId="093D7E90">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专 业 类及代码：</w:t>
      </w:r>
      <w:r>
        <w:rPr>
          <w:rFonts w:hint="eastAsia" w:ascii="仿宋_GB2312"/>
          <w:sz w:val="24"/>
          <w:szCs w:val="24"/>
          <w:highlight w:val="none"/>
          <w:lang w:val="en-US" w:eastAsia="zh-CN"/>
        </w:rPr>
        <w:t>道路运输</w:t>
      </w:r>
      <w:r>
        <w:rPr>
          <w:rFonts w:hint="eastAsia" w:ascii="仿宋_GB2312"/>
          <w:sz w:val="24"/>
          <w:szCs w:val="24"/>
          <w:highlight w:val="none"/>
        </w:rPr>
        <w:t>类（5002）</w:t>
      </w:r>
    </w:p>
    <w:p w14:paraId="5F29D14B">
      <w:pPr>
        <w:overflowPunct w:val="0"/>
        <w:adjustRightInd w:val="0"/>
        <w:snapToGrid w:val="0"/>
        <w:spacing w:line="360" w:lineRule="auto"/>
        <w:ind w:firstLine="480" w:firstLineChars="200"/>
        <w:rPr>
          <w:rFonts w:hint="eastAsia" w:ascii="仿宋_GB2312"/>
          <w:sz w:val="24"/>
          <w:szCs w:val="24"/>
          <w:highlight w:val="none"/>
          <w:lang w:val="en-US" w:eastAsia="zh-CN"/>
        </w:rPr>
      </w:pPr>
      <w:r>
        <w:rPr>
          <w:rFonts w:hint="eastAsia" w:ascii="仿宋_GB2312"/>
          <w:sz w:val="24"/>
          <w:szCs w:val="24"/>
          <w:highlight w:val="none"/>
        </w:rPr>
        <w:t>专  业  名  称：</w:t>
      </w:r>
      <w:r>
        <w:rPr>
          <w:rFonts w:hint="eastAsia" w:ascii="仿宋_GB2312"/>
          <w:sz w:val="24"/>
          <w:szCs w:val="24"/>
          <w:highlight w:val="none"/>
          <w:lang w:val="en-US" w:eastAsia="zh-CN"/>
        </w:rPr>
        <w:t>新能源汽车检测与维修技术</w:t>
      </w:r>
    </w:p>
    <w:p w14:paraId="34042C40">
      <w:pPr>
        <w:overflowPunct w:val="0"/>
        <w:adjustRightInd w:val="0"/>
        <w:snapToGrid w:val="0"/>
        <w:spacing w:line="360" w:lineRule="auto"/>
        <w:ind w:firstLine="480" w:firstLineChars="200"/>
        <w:rPr>
          <w:rFonts w:hint="eastAsia" w:ascii="仿宋_GB2312"/>
          <w:sz w:val="24"/>
          <w:szCs w:val="24"/>
          <w:highlight w:val="none"/>
          <w:lang w:val="en-US" w:eastAsia="zh-CN"/>
        </w:rPr>
      </w:pPr>
      <w:r>
        <w:rPr>
          <w:rFonts w:hint="eastAsia" w:ascii="仿宋_GB2312"/>
          <w:sz w:val="24"/>
          <w:szCs w:val="24"/>
          <w:highlight w:val="none"/>
        </w:rPr>
        <w:t>专  业  代  码：</w:t>
      </w:r>
      <w:r>
        <w:rPr>
          <w:rFonts w:hint="eastAsia" w:ascii="仿宋_GB2312"/>
          <w:sz w:val="24"/>
          <w:szCs w:val="24"/>
          <w:highlight w:val="none"/>
          <w:lang w:val="en-US" w:eastAsia="zh-CN"/>
        </w:rPr>
        <w:t>500212</w:t>
      </w:r>
    </w:p>
    <w:p w14:paraId="1F225650">
      <w:pPr>
        <w:pStyle w:val="2"/>
        <w:spacing w:before="0" w:beforeLines="0" w:after="0" w:afterLines="0"/>
        <w:ind w:firstLine="480"/>
        <w:rPr>
          <w:sz w:val="24"/>
          <w:szCs w:val="24"/>
          <w:highlight w:val="none"/>
        </w:rPr>
      </w:pPr>
      <w:bookmarkStart w:id="10" w:name="_Toc168736730"/>
      <w:bookmarkStart w:id="11" w:name="_Toc201407667"/>
      <w:bookmarkStart w:id="12" w:name="_Toc12542"/>
      <w:r>
        <w:rPr>
          <w:rFonts w:hint="eastAsia"/>
          <w:sz w:val="24"/>
          <w:szCs w:val="24"/>
          <w:highlight w:val="none"/>
        </w:rPr>
        <w:t>二、入学要求</w:t>
      </w:r>
      <w:bookmarkEnd w:id="10"/>
      <w:bookmarkEnd w:id="11"/>
      <w:bookmarkEnd w:id="12"/>
    </w:p>
    <w:p w14:paraId="03560459">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高中阶段教育毕业生或具有同等学力者。</w:t>
      </w:r>
    </w:p>
    <w:p w14:paraId="15F1702C">
      <w:pPr>
        <w:pStyle w:val="2"/>
        <w:spacing w:before="0" w:beforeLines="0" w:after="0" w:afterLines="0"/>
        <w:ind w:firstLine="480"/>
        <w:rPr>
          <w:sz w:val="24"/>
          <w:szCs w:val="24"/>
          <w:highlight w:val="none"/>
        </w:rPr>
      </w:pPr>
      <w:bookmarkStart w:id="13" w:name="_Toc18732"/>
      <w:bookmarkStart w:id="14" w:name="_Toc168736731"/>
      <w:bookmarkStart w:id="15" w:name="_Toc201407668"/>
      <w:r>
        <w:rPr>
          <w:rFonts w:hint="eastAsia"/>
          <w:sz w:val="24"/>
          <w:szCs w:val="24"/>
          <w:highlight w:val="none"/>
        </w:rPr>
        <w:t>三、修业年限</w:t>
      </w:r>
      <w:bookmarkEnd w:id="13"/>
      <w:bookmarkEnd w:id="14"/>
      <w:bookmarkEnd w:id="15"/>
    </w:p>
    <w:p w14:paraId="6A691768">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以3年为主，可以根据学生灵活学习需求合理、弹性安排学习时间。</w:t>
      </w:r>
    </w:p>
    <w:p w14:paraId="5CB3DF4D">
      <w:pPr>
        <w:pStyle w:val="2"/>
        <w:spacing w:before="0" w:beforeLines="0" w:after="0" w:afterLines="0"/>
        <w:ind w:firstLine="480"/>
        <w:rPr>
          <w:sz w:val="24"/>
          <w:szCs w:val="24"/>
          <w:highlight w:val="none"/>
        </w:rPr>
      </w:pPr>
      <w:bookmarkStart w:id="16" w:name="_Toc168736732"/>
      <w:bookmarkStart w:id="17" w:name="_Toc18112"/>
      <w:bookmarkStart w:id="18" w:name="_Toc201407669"/>
      <w:r>
        <w:rPr>
          <w:rFonts w:hint="eastAsia"/>
          <w:sz w:val="24"/>
          <w:szCs w:val="24"/>
          <w:highlight w:val="none"/>
        </w:rPr>
        <w:t>四、职业面向</w:t>
      </w:r>
      <w:bookmarkEnd w:id="16"/>
      <w:bookmarkEnd w:id="17"/>
      <w:bookmarkEnd w:id="18"/>
    </w:p>
    <w:p w14:paraId="7B8A63BC">
      <w:pPr>
        <w:pStyle w:val="3"/>
        <w:ind w:firstLine="482"/>
        <w:rPr>
          <w:sz w:val="24"/>
          <w:szCs w:val="24"/>
          <w:highlight w:val="none"/>
        </w:rPr>
      </w:pPr>
      <w:bookmarkStart w:id="19" w:name="_Toc168736733"/>
      <w:bookmarkStart w:id="20" w:name="_Toc201407670"/>
      <w:bookmarkStart w:id="21" w:name="_Toc18207"/>
      <w:r>
        <w:rPr>
          <w:rFonts w:hint="eastAsia"/>
          <w:sz w:val="24"/>
          <w:szCs w:val="24"/>
          <w:highlight w:val="none"/>
        </w:rPr>
        <w:t>（一）职业面向</w:t>
      </w:r>
      <w:bookmarkEnd w:id="19"/>
      <w:bookmarkEnd w:id="20"/>
      <w:bookmarkEnd w:id="21"/>
    </w:p>
    <w:p w14:paraId="0721308A">
      <w:pPr>
        <w:overflowPunct w:val="0"/>
        <w:adjustRightInd w:val="0"/>
        <w:snapToGrid w:val="0"/>
        <w:spacing w:line="360" w:lineRule="auto"/>
        <w:jc w:val="center"/>
        <w:rPr>
          <w:rFonts w:ascii="仿宋_GB2312" w:hAnsi="仿宋_GB2312" w:cs="仿宋_GB2312"/>
          <w:b/>
          <w:bCs/>
          <w:sz w:val="24"/>
          <w:szCs w:val="24"/>
          <w:highlight w:val="none"/>
        </w:rPr>
      </w:pPr>
      <w:r>
        <w:rPr>
          <w:rFonts w:hint="eastAsia" w:ascii="仿宋_GB2312" w:hAnsi="仿宋_GB2312" w:cs="仿宋_GB2312"/>
          <w:b/>
          <w:bCs/>
          <w:sz w:val="24"/>
          <w:szCs w:val="24"/>
          <w:highlight w:val="none"/>
        </w:rPr>
        <w:t>表一 职业面向一览表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5089"/>
      </w:tblGrid>
      <w:tr w14:paraId="4C33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014" w:type="pct"/>
            <w:vAlign w:val="center"/>
          </w:tcPr>
          <w:p w14:paraId="1F4FE0BF">
            <w:pPr>
              <w:widowControl/>
              <w:snapToGrid w:val="0"/>
              <w:spacing w:line="360" w:lineRule="auto"/>
              <w:jc w:val="center"/>
              <w:rPr>
                <w:rFonts w:ascii="仿宋" w:hAnsi="仿宋" w:eastAsia="仿宋"/>
                <w:sz w:val="21"/>
                <w:szCs w:val="28"/>
                <w:highlight w:val="none"/>
              </w:rPr>
            </w:pPr>
            <w:r>
              <w:rPr>
                <w:rFonts w:hint="eastAsia" w:ascii="仿宋_GB2312" w:hAnsi="仿宋_GB2312" w:cs="仿宋_GB2312"/>
                <w:b/>
                <w:bCs/>
                <w:kern w:val="0"/>
                <w:sz w:val="21"/>
                <w:szCs w:val="24"/>
                <w:highlight w:val="none"/>
              </w:rPr>
              <w:t>所属专业大类（代码）</w:t>
            </w:r>
          </w:p>
        </w:tc>
        <w:tc>
          <w:tcPr>
            <w:tcW w:w="2986" w:type="pct"/>
            <w:vAlign w:val="center"/>
          </w:tcPr>
          <w:p w14:paraId="566DC538">
            <w:pPr>
              <w:adjustRightInd w:val="0"/>
              <w:snapToGrid w:val="0"/>
              <w:spacing w:line="324" w:lineRule="auto"/>
              <w:jc w:val="left"/>
              <w:rPr>
                <w:rFonts w:ascii="仿宋" w:hAnsi="仿宋" w:eastAsia="仿宋"/>
                <w:sz w:val="21"/>
                <w:szCs w:val="28"/>
                <w:highlight w:val="none"/>
              </w:rPr>
            </w:pPr>
            <w:r>
              <w:rPr>
                <w:rFonts w:hint="eastAsia" w:ascii="仿宋" w:hAnsi="仿宋" w:eastAsia="仿宋"/>
                <w:sz w:val="21"/>
                <w:szCs w:val="24"/>
                <w:highlight w:val="none"/>
                <w:lang w:val="en-US" w:eastAsia="zh-CN"/>
              </w:rPr>
              <w:t>交通运输</w:t>
            </w:r>
            <w:r>
              <w:rPr>
                <w:rFonts w:hint="eastAsia" w:ascii="仿宋" w:hAnsi="仿宋" w:eastAsia="仿宋"/>
                <w:sz w:val="21"/>
                <w:szCs w:val="24"/>
                <w:highlight w:val="none"/>
              </w:rPr>
              <w:t>大类（5</w:t>
            </w:r>
            <w:r>
              <w:rPr>
                <w:rFonts w:hint="eastAsia" w:ascii="仿宋" w:hAnsi="仿宋" w:eastAsia="仿宋"/>
                <w:sz w:val="21"/>
                <w:szCs w:val="24"/>
                <w:highlight w:val="none"/>
                <w:lang w:val="en-US" w:eastAsia="zh-CN"/>
              </w:rPr>
              <w:t>0</w:t>
            </w:r>
            <w:r>
              <w:rPr>
                <w:rFonts w:hint="eastAsia" w:ascii="仿宋" w:hAnsi="仿宋" w:eastAsia="仿宋"/>
                <w:sz w:val="21"/>
                <w:szCs w:val="24"/>
                <w:highlight w:val="none"/>
              </w:rPr>
              <w:t>）</w:t>
            </w:r>
          </w:p>
        </w:tc>
      </w:tr>
      <w:tr w14:paraId="2CE85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014" w:type="pct"/>
            <w:vAlign w:val="center"/>
          </w:tcPr>
          <w:p w14:paraId="7C497C9A">
            <w:pPr>
              <w:adjustRightInd w:val="0"/>
              <w:snapToGrid w:val="0"/>
              <w:spacing w:line="360" w:lineRule="auto"/>
              <w:jc w:val="center"/>
              <w:rPr>
                <w:rFonts w:ascii="仿宋" w:hAnsi="仿宋" w:eastAsia="仿宋"/>
                <w:sz w:val="21"/>
                <w:szCs w:val="28"/>
                <w:highlight w:val="none"/>
              </w:rPr>
            </w:pPr>
            <w:r>
              <w:rPr>
                <w:rFonts w:hint="eastAsia" w:ascii="仿宋_GB2312" w:hAnsi="仿宋_GB2312" w:cs="仿宋_GB2312"/>
                <w:b/>
                <w:bCs/>
                <w:kern w:val="0"/>
                <w:sz w:val="21"/>
                <w:szCs w:val="24"/>
                <w:highlight w:val="none"/>
              </w:rPr>
              <w:t>所属专业类（代码）</w:t>
            </w:r>
          </w:p>
        </w:tc>
        <w:tc>
          <w:tcPr>
            <w:tcW w:w="2986" w:type="pct"/>
            <w:vAlign w:val="center"/>
          </w:tcPr>
          <w:p w14:paraId="2A3E2399">
            <w:pPr>
              <w:adjustRightInd w:val="0"/>
              <w:snapToGrid w:val="0"/>
              <w:spacing w:line="324" w:lineRule="auto"/>
              <w:jc w:val="left"/>
              <w:rPr>
                <w:rFonts w:ascii="仿宋" w:hAnsi="仿宋" w:eastAsia="仿宋"/>
                <w:sz w:val="21"/>
                <w:szCs w:val="28"/>
                <w:highlight w:val="none"/>
              </w:rPr>
            </w:pPr>
            <w:r>
              <w:rPr>
                <w:rFonts w:hint="eastAsia" w:ascii="仿宋" w:hAnsi="仿宋" w:eastAsia="仿宋"/>
                <w:sz w:val="21"/>
                <w:szCs w:val="24"/>
                <w:highlight w:val="none"/>
                <w:lang w:val="en-US" w:eastAsia="zh-CN"/>
              </w:rPr>
              <w:t>道路运输类</w:t>
            </w:r>
            <w:r>
              <w:rPr>
                <w:rFonts w:hint="eastAsia" w:ascii="仿宋" w:hAnsi="仿宋" w:eastAsia="仿宋"/>
                <w:sz w:val="21"/>
                <w:szCs w:val="24"/>
                <w:highlight w:val="none"/>
              </w:rPr>
              <w:t>（5</w:t>
            </w:r>
            <w:r>
              <w:rPr>
                <w:rFonts w:hint="eastAsia" w:ascii="仿宋" w:hAnsi="仿宋" w:eastAsia="仿宋"/>
                <w:sz w:val="21"/>
                <w:szCs w:val="24"/>
                <w:highlight w:val="none"/>
                <w:lang w:val="en-US" w:eastAsia="zh-CN"/>
              </w:rPr>
              <w:t>002</w:t>
            </w:r>
            <w:r>
              <w:rPr>
                <w:rFonts w:hint="eastAsia" w:ascii="仿宋" w:hAnsi="仿宋" w:eastAsia="仿宋"/>
                <w:sz w:val="21"/>
                <w:szCs w:val="24"/>
                <w:highlight w:val="none"/>
              </w:rPr>
              <w:t>）</w:t>
            </w:r>
          </w:p>
        </w:tc>
      </w:tr>
      <w:tr w14:paraId="77EED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2014" w:type="pct"/>
            <w:vAlign w:val="center"/>
          </w:tcPr>
          <w:p w14:paraId="695BBF8C">
            <w:pPr>
              <w:adjustRightInd w:val="0"/>
              <w:snapToGrid w:val="0"/>
              <w:spacing w:line="360" w:lineRule="auto"/>
              <w:jc w:val="center"/>
              <w:rPr>
                <w:rFonts w:ascii="仿宋" w:hAnsi="仿宋"/>
                <w:sz w:val="21"/>
                <w:szCs w:val="28"/>
                <w:highlight w:val="none"/>
              </w:rPr>
            </w:pPr>
            <w:r>
              <w:rPr>
                <w:rFonts w:hint="eastAsia" w:ascii="仿宋_GB2312" w:hAnsi="仿宋_GB2312" w:cs="仿宋_GB2312"/>
                <w:b/>
                <w:bCs/>
                <w:kern w:val="0"/>
                <w:sz w:val="21"/>
                <w:szCs w:val="24"/>
                <w:highlight w:val="none"/>
              </w:rPr>
              <w:t>对应行业（代码）</w:t>
            </w:r>
          </w:p>
        </w:tc>
        <w:tc>
          <w:tcPr>
            <w:tcW w:w="2986" w:type="pct"/>
            <w:vAlign w:val="center"/>
          </w:tcPr>
          <w:p w14:paraId="7FD05F8F">
            <w:pPr>
              <w:adjustRightInd w:val="0"/>
              <w:snapToGrid w:val="0"/>
              <w:spacing w:line="324" w:lineRule="auto"/>
              <w:jc w:val="left"/>
              <w:rPr>
                <w:rFonts w:hint="eastAsia" w:ascii="仿宋" w:hAnsi="仿宋" w:eastAsia="仿宋"/>
                <w:sz w:val="21"/>
                <w:szCs w:val="24"/>
                <w:highlight w:val="none"/>
                <w:lang w:val="en-US" w:eastAsia="zh-CN"/>
              </w:rPr>
            </w:pPr>
            <w:r>
              <w:rPr>
                <w:rFonts w:hint="eastAsia" w:ascii="仿宋" w:hAnsi="仿宋" w:eastAsia="仿宋"/>
                <w:sz w:val="21"/>
                <w:szCs w:val="24"/>
                <w:highlight w:val="none"/>
                <w:lang w:val="en-US" w:eastAsia="zh-CN"/>
              </w:rPr>
              <w:t>汽车修理与维护（8111）</w:t>
            </w:r>
          </w:p>
        </w:tc>
      </w:tr>
      <w:tr w14:paraId="7A6A1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2014" w:type="pct"/>
            <w:vAlign w:val="center"/>
          </w:tcPr>
          <w:p w14:paraId="21507D67">
            <w:pPr>
              <w:adjustRightInd w:val="0"/>
              <w:snapToGrid w:val="0"/>
              <w:spacing w:line="360" w:lineRule="auto"/>
              <w:jc w:val="center"/>
              <w:rPr>
                <w:rFonts w:ascii="仿宋" w:hAnsi="仿宋"/>
                <w:sz w:val="21"/>
                <w:szCs w:val="28"/>
                <w:highlight w:val="none"/>
              </w:rPr>
            </w:pPr>
            <w:r>
              <w:rPr>
                <w:rFonts w:hint="eastAsia" w:ascii="仿宋_GB2312" w:hAnsi="仿宋_GB2312" w:cs="仿宋_GB2312"/>
                <w:b/>
                <w:bCs/>
                <w:kern w:val="0"/>
                <w:sz w:val="21"/>
                <w:szCs w:val="24"/>
                <w:highlight w:val="none"/>
              </w:rPr>
              <w:t>主要职业类别（代码）</w:t>
            </w:r>
          </w:p>
        </w:tc>
        <w:tc>
          <w:tcPr>
            <w:tcW w:w="2986" w:type="pct"/>
            <w:vAlign w:val="center"/>
          </w:tcPr>
          <w:p w14:paraId="27E795C9">
            <w:pPr>
              <w:adjustRightInd w:val="0"/>
              <w:snapToGrid w:val="0"/>
              <w:spacing w:line="324" w:lineRule="auto"/>
              <w:jc w:val="left"/>
              <w:rPr>
                <w:rFonts w:hint="eastAsia" w:ascii="仿宋" w:hAnsi="仿宋" w:eastAsia="仿宋"/>
                <w:sz w:val="21"/>
                <w:szCs w:val="24"/>
                <w:highlight w:val="none"/>
                <w:lang w:val="en-US" w:eastAsia="zh-CN"/>
              </w:rPr>
            </w:pPr>
            <w:r>
              <w:rPr>
                <w:rFonts w:hint="eastAsia" w:ascii="仿宋" w:hAnsi="仿宋" w:eastAsia="仿宋"/>
                <w:sz w:val="21"/>
                <w:szCs w:val="24"/>
                <w:highlight w:val="none"/>
                <w:lang w:val="en-US" w:eastAsia="zh-CN"/>
              </w:rPr>
              <w:t>汽车摩托车修理技术服务人员（4-12-01）、汽车工程技术人员 L（2-02-07-11）、汽车整车制造人员（6-22-02））</w:t>
            </w:r>
          </w:p>
        </w:tc>
      </w:tr>
      <w:tr w14:paraId="2FB8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2014" w:type="pct"/>
            <w:shd w:val="clear" w:color="auto" w:fill="auto"/>
            <w:vAlign w:val="center"/>
          </w:tcPr>
          <w:p w14:paraId="52130E3E">
            <w:pPr>
              <w:widowControl/>
              <w:snapToGrid w:val="0"/>
              <w:spacing w:line="360" w:lineRule="auto"/>
              <w:jc w:val="center"/>
              <w:rPr>
                <w:rFonts w:ascii="仿宋_GB2312" w:hAnsi="仿宋_GB2312" w:cs="仿宋_GB2312"/>
                <w:b/>
                <w:bCs/>
                <w:kern w:val="0"/>
                <w:sz w:val="21"/>
                <w:szCs w:val="24"/>
                <w:highlight w:val="none"/>
              </w:rPr>
            </w:pPr>
            <w:r>
              <w:rPr>
                <w:rFonts w:hint="eastAsia" w:ascii="仿宋_GB2312" w:hAnsi="仿宋_GB2312" w:cs="仿宋_GB2312"/>
                <w:b/>
                <w:bCs/>
                <w:kern w:val="0"/>
                <w:sz w:val="22"/>
                <w:szCs w:val="28"/>
                <w:highlight w:val="none"/>
              </w:rPr>
              <w:t>主要岗位（群）或技术领域</w:t>
            </w:r>
          </w:p>
        </w:tc>
        <w:tc>
          <w:tcPr>
            <w:tcW w:w="2986" w:type="pct"/>
            <w:vAlign w:val="center"/>
          </w:tcPr>
          <w:p w14:paraId="401639EA">
            <w:pPr>
              <w:adjustRightInd w:val="0"/>
              <w:snapToGrid w:val="0"/>
              <w:spacing w:line="324" w:lineRule="auto"/>
              <w:jc w:val="left"/>
              <w:rPr>
                <w:rFonts w:hint="eastAsia" w:ascii="仿宋" w:hAnsi="仿宋" w:eastAsia="仿宋"/>
                <w:sz w:val="21"/>
                <w:szCs w:val="24"/>
                <w:highlight w:val="none"/>
                <w:lang w:val="en-US" w:eastAsia="zh-CN"/>
              </w:rPr>
            </w:pPr>
            <w:r>
              <w:rPr>
                <w:rFonts w:hint="eastAsia" w:ascii="仿宋" w:hAnsi="仿宋" w:eastAsia="仿宋"/>
                <w:sz w:val="21"/>
                <w:szCs w:val="24"/>
                <w:highlight w:val="none"/>
                <w:lang w:val="en-US" w:eastAsia="zh-CN"/>
              </w:rPr>
              <w:t>新能源汽车维护、新能源汽车检测与维修、新能源汽车充电，</w:t>
            </w:r>
            <w:r>
              <w:rPr>
                <w:rFonts w:hint="eastAsia" w:ascii="仿宋" w:hAnsi="仿宋" w:eastAsia="仿宋"/>
                <w:b/>
                <w:bCs/>
                <w:sz w:val="22"/>
                <w:szCs w:val="28"/>
                <w:highlight w:val="none"/>
                <w:lang w:val="en-US" w:eastAsia="zh-CN"/>
              </w:rPr>
              <w:t>设备装调检测与维护</w:t>
            </w:r>
            <w:r>
              <w:rPr>
                <w:rFonts w:hint="eastAsia" w:ascii="仿宋" w:hAnsi="仿宋" w:eastAsia="仿宋"/>
                <w:sz w:val="21"/>
                <w:szCs w:val="24"/>
                <w:highlight w:val="none"/>
                <w:lang w:val="en-US" w:eastAsia="zh-CN"/>
              </w:rPr>
              <w:t>……</w:t>
            </w:r>
          </w:p>
        </w:tc>
      </w:tr>
      <w:tr w14:paraId="6E505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2014" w:type="pct"/>
            <w:vAlign w:val="center"/>
          </w:tcPr>
          <w:p w14:paraId="571B8D8C">
            <w:pPr>
              <w:adjustRightInd w:val="0"/>
              <w:snapToGrid w:val="0"/>
              <w:spacing w:line="360" w:lineRule="auto"/>
              <w:jc w:val="center"/>
              <w:rPr>
                <w:rFonts w:ascii="仿宋_GB2312" w:hAnsi="仿宋_GB2312" w:cs="仿宋_GB2312"/>
                <w:b/>
                <w:bCs/>
                <w:kern w:val="0"/>
                <w:sz w:val="21"/>
                <w:szCs w:val="24"/>
                <w:highlight w:val="none"/>
              </w:rPr>
            </w:pPr>
            <w:r>
              <w:rPr>
                <w:rFonts w:hint="eastAsia" w:ascii="仿宋_GB2312" w:hAnsi="仿宋_GB2312" w:cs="仿宋_GB2312"/>
                <w:b/>
                <w:bCs/>
                <w:kern w:val="0"/>
                <w:sz w:val="21"/>
                <w:szCs w:val="24"/>
                <w:highlight w:val="none"/>
              </w:rPr>
              <w:t>职业类证书</w:t>
            </w:r>
          </w:p>
        </w:tc>
        <w:tc>
          <w:tcPr>
            <w:tcW w:w="2986" w:type="pct"/>
            <w:vAlign w:val="center"/>
          </w:tcPr>
          <w:p w14:paraId="57122633">
            <w:pPr>
              <w:adjustRightInd w:val="0"/>
              <w:snapToGrid w:val="0"/>
              <w:spacing w:line="324" w:lineRule="auto"/>
              <w:jc w:val="left"/>
              <w:rPr>
                <w:rFonts w:hint="eastAsia" w:ascii="仿宋" w:hAnsi="仿宋" w:eastAsia="仿宋"/>
                <w:sz w:val="21"/>
                <w:szCs w:val="24"/>
                <w:highlight w:val="none"/>
                <w:lang w:val="en-US" w:eastAsia="zh-CN"/>
              </w:rPr>
            </w:pPr>
            <w:r>
              <w:rPr>
                <w:rFonts w:hint="eastAsia" w:ascii="仿宋" w:hAnsi="仿宋" w:eastAsia="仿宋"/>
                <w:sz w:val="21"/>
                <w:szCs w:val="24"/>
                <w:highlight w:val="none"/>
                <w:lang w:val="en-US" w:eastAsia="zh-CN"/>
              </w:rPr>
              <w:t>智能新能源汽车、电动汽车高电压系统评测与维修、智能网联汽车测试装调……</w:t>
            </w:r>
          </w:p>
        </w:tc>
      </w:tr>
    </w:tbl>
    <w:p w14:paraId="1A9CB7AB">
      <w:pPr>
        <w:pStyle w:val="3"/>
        <w:ind w:firstLine="482"/>
        <w:rPr>
          <w:sz w:val="24"/>
          <w:szCs w:val="24"/>
          <w:highlight w:val="none"/>
        </w:rPr>
      </w:pPr>
      <w:bookmarkStart w:id="22" w:name="_Toc14432"/>
      <w:bookmarkStart w:id="23" w:name="_Toc168736734"/>
      <w:bookmarkStart w:id="24" w:name="_Toc201407671"/>
      <w:r>
        <w:rPr>
          <w:rFonts w:hint="eastAsia"/>
          <w:sz w:val="24"/>
          <w:szCs w:val="24"/>
          <w:highlight w:val="none"/>
        </w:rPr>
        <w:t>（二）主要岗位（群）描述</w:t>
      </w:r>
      <w:bookmarkEnd w:id="22"/>
      <w:bookmarkEnd w:id="23"/>
      <w:bookmarkEnd w:id="24"/>
    </w:p>
    <w:p w14:paraId="093ECA68">
      <w:pPr>
        <w:overflowPunct w:val="0"/>
        <w:adjustRightInd w:val="0"/>
        <w:snapToGrid w:val="0"/>
        <w:spacing w:line="360" w:lineRule="auto"/>
        <w:jc w:val="center"/>
        <w:rPr>
          <w:rFonts w:ascii="仿宋_GB2312" w:hAnsi="仿宋_GB2312" w:cs="仿宋_GB2312"/>
          <w:b/>
          <w:bCs/>
          <w:sz w:val="24"/>
          <w:szCs w:val="24"/>
          <w:highlight w:val="none"/>
        </w:rPr>
      </w:pPr>
      <w:r>
        <w:rPr>
          <w:rFonts w:hint="eastAsia" w:ascii="仿宋_GB2312" w:hAnsi="仿宋_GB2312" w:cs="仿宋_GB2312"/>
          <w:b/>
          <w:bCs/>
          <w:sz w:val="24"/>
          <w:szCs w:val="24"/>
          <w:highlight w:val="none"/>
        </w:rPr>
        <w:t xml:space="preserve">表二 </w:t>
      </w:r>
      <w:r>
        <w:rPr>
          <w:rFonts w:hint="eastAsia" w:ascii="仿宋_GB2312" w:hAnsi="仿宋_GB2312" w:cs="仿宋_GB2312"/>
          <w:b/>
          <w:bCs/>
          <w:sz w:val="24"/>
          <w:szCs w:val="24"/>
          <w:highlight w:val="none"/>
          <w:lang w:val="en-US" w:eastAsia="zh-CN"/>
        </w:rPr>
        <w:t>新能源汽车检测与维修技术</w:t>
      </w:r>
      <w:r>
        <w:rPr>
          <w:rFonts w:hint="eastAsia" w:ascii="仿宋_GB2312" w:hAnsi="仿宋_GB2312" w:cs="仿宋_GB2312"/>
          <w:b/>
          <w:bCs/>
          <w:sz w:val="24"/>
          <w:szCs w:val="24"/>
          <w:highlight w:val="none"/>
        </w:rPr>
        <w:t>专业毕业生职业面向、工作任务分析</w:t>
      </w:r>
    </w:p>
    <w:tbl>
      <w:tblPr>
        <w:tblStyle w:val="15"/>
        <w:tblW w:w="5187" w:type="pct"/>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autofit"/>
        <w:tblCellMar>
          <w:top w:w="0" w:type="dxa"/>
          <w:left w:w="0" w:type="dxa"/>
          <w:bottom w:w="0" w:type="dxa"/>
          <w:right w:w="0" w:type="dxa"/>
        </w:tblCellMar>
      </w:tblPr>
      <w:tblGrid>
        <w:gridCol w:w="734"/>
        <w:gridCol w:w="1200"/>
        <w:gridCol w:w="962"/>
        <w:gridCol w:w="4109"/>
        <w:gridCol w:w="1628"/>
      </w:tblGrid>
      <w:tr w14:paraId="6FC47CAF">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425" w:type="pct"/>
            <w:tcBorders>
              <w:top w:val="outset" w:color="000000" w:sz="6" w:space="0"/>
              <w:left w:val="outset" w:color="000000" w:sz="6" w:space="0"/>
              <w:bottom w:val="outset" w:color="000000" w:sz="6" w:space="0"/>
              <w:right w:val="outset" w:color="000000" w:sz="6" w:space="0"/>
            </w:tcBorders>
            <w:vAlign w:val="center"/>
          </w:tcPr>
          <w:p w14:paraId="48E79C7F">
            <w:pPr>
              <w:widowControl/>
              <w:spacing w:before="100" w:beforeAutospacing="1" w:after="100" w:afterAutospacing="1"/>
              <w:jc w:val="center"/>
              <w:rPr>
                <w:rFonts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序号</w:t>
            </w:r>
          </w:p>
        </w:tc>
        <w:tc>
          <w:tcPr>
            <w:tcW w:w="695" w:type="pct"/>
            <w:tcBorders>
              <w:top w:val="outset" w:color="000000" w:sz="6" w:space="0"/>
              <w:left w:val="outset" w:color="000000" w:sz="6" w:space="0"/>
              <w:bottom w:val="outset" w:color="000000" w:sz="6" w:space="0"/>
              <w:right w:val="outset" w:color="000000" w:sz="6" w:space="0"/>
            </w:tcBorders>
            <w:vAlign w:val="center"/>
          </w:tcPr>
          <w:p w14:paraId="786B8E1F">
            <w:pPr>
              <w:widowControl/>
              <w:spacing w:before="100" w:beforeAutospacing="1" w:after="100" w:afterAutospacing="1"/>
              <w:jc w:val="center"/>
              <w:rPr>
                <w:rFonts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岗位群</w:t>
            </w:r>
          </w:p>
        </w:tc>
        <w:tc>
          <w:tcPr>
            <w:tcW w:w="557" w:type="pct"/>
            <w:tcBorders>
              <w:top w:val="outset" w:color="000000" w:sz="6" w:space="0"/>
              <w:left w:val="outset" w:color="000000" w:sz="6" w:space="0"/>
              <w:bottom w:val="outset" w:color="000000" w:sz="6" w:space="0"/>
              <w:right w:val="outset" w:color="000000" w:sz="6" w:space="0"/>
            </w:tcBorders>
            <w:vAlign w:val="center"/>
          </w:tcPr>
          <w:p w14:paraId="5138413C">
            <w:pPr>
              <w:widowControl/>
              <w:spacing w:before="100" w:beforeAutospacing="1" w:after="100" w:afterAutospacing="1"/>
              <w:jc w:val="center"/>
              <w:rPr>
                <w:rFonts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就业岗位</w:t>
            </w:r>
          </w:p>
        </w:tc>
        <w:tc>
          <w:tcPr>
            <w:tcW w:w="2379" w:type="pct"/>
            <w:tcBorders>
              <w:top w:val="outset" w:color="000000" w:sz="6" w:space="0"/>
              <w:left w:val="outset" w:color="000000" w:sz="6" w:space="0"/>
              <w:bottom w:val="outset" w:color="000000" w:sz="6" w:space="0"/>
              <w:right w:val="outset" w:color="000000" w:sz="6" w:space="0"/>
            </w:tcBorders>
            <w:vAlign w:val="center"/>
          </w:tcPr>
          <w:p w14:paraId="762B6BF1">
            <w:pPr>
              <w:widowControl/>
              <w:spacing w:before="100" w:beforeAutospacing="1" w:after="100" w:afterAutospacing="1"/>
              <w:jc w:val="center"/>
              <w:rPr>
                <w:rFonts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岗位核心能力与要求</w:t>
            </w:r>
          </w:p>
        </w:tc>
        <w:tc>
          <w:tcPr>
            <w:tcW w:w="942" w:type="pct"/>
            <w:tcBorders>
              <w:top w:val="outset" w:color="000000" w:sz="6" w:space="0"/>
              <w:left w:val="outset" w:color="000000" w:sz="6" w:space="0"/>
              <w:bottom w:val="outset" w:color="000000" w:sz="6" w:space="0"/>
              <w:right w:val="outset" w:color="000000" w:sz="6" w:space="0"/>
            </w:tcBorders>
            <w:vAlign w:val="center"/>
          </w:tcPr>
          <w:p w14:paraId="7AD8F1E3">
            <w:pPr>
              <w:widowControl/>
              <w:spacing w:before="100" w:beforeAutospacing="1" w:after="100" w:afterAutospacing="1"/>
              <w:jc w:val="center"/>
              <w:rPr>
                <w:rFonts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与核心能力对应的课程</w:t>
            </w:r>
          </w:p>
        </w:tc>
      </w:tr>
      <w:tr w14:paraId="04DE90F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425" w:type="pct"/>
            <w:tcBorders>
              <w:top w:val="outset" w:color="000000" w:sz="6" w:space="0"/>
              <w:left w:val="outset" w:color="000000" w:sz="6" w:space="0"/>
              <w:bottom w:val="outset" w:color="000000" w:sz="6" w:space="0"/>
              <w:right w:val="outset" w:color="000000" w:sz="6" w:space="0"/>
            </w:tcBorders>
            <w:vAlign w:val="center"/>
          </w:tcPr>
          <w:p w14:paraId="5FF04314">
            <w:pPr>
              <w:widowControl/>
              <w:spacing w:before="100" w:beforeAutospacing="1" w:after="100" w:afterAutospacing="1"/>
              <w:jc w:val="center"/>
              <w:rPr>
                <w:rFonts w:ascii="仿宋_GB2312" w:hAnsi="仿宋_GB2312" w:cs="仿宋_GB2312"/>
                <w:kern w:val="0"/>
                <w:sz w:val="21"/>
                <w:szCs w:val="21"/>
                <w:highlight w:val="none"/>
              </w:rPr>
            </w:pPr>
            <w:r>
              <w:rPr>
                <w:rFonts w:hint="eastAsia" w:ascii="仿宋_GB2312" w:hAnsi="仿宋_GB2312" w:cs="仿宋_GB2312"/>
                <w:bCs/>
                <w:kern w:val="0"/>
                <w:sz w:val="21"/>
                <w:szCs w:val="21"/>
                <w:highlight w:val="none"/>
              </w:rPr>
              <w:t>1</w:t>
            </w:r>
          </w:p>
        </w:tc>
        <w:tc>
          <w:tcPr>
            <w:tcW w:w="695" w:type="pct"/>
            <w:tcBorders>
              <w:top w:val="outset" w:color="000000" w:sz="6" w:space="0"/>
              <w:left w:val="outset" w:color="000000" w:sz="6" w:space="0"/>
              <w:bottom w:val="outset" w:color="000000" w:sz="6" w:space="0"/>
              <w:right w:val="outset" w:color="000000" w:sz="6" w:space="0"/>
            </w:tcBorders>
            <w:shd w:val="clear" w:color="auto" w:fill="auto"/>
            <w:tcMar>
              <w:left w:w="113" w:type="dxa"/>
              <w:right w:w="113" w:type="dxa"/>
            </w:tcMar>
            <w:vAlign w:val="center"/>
          </w:tcPr>
          <w:p w14:paraId="1F4A39B3">
            <w:pPr>
              <w:pStyle w:val="7"/>
              <w:adjustRightInd w:val="0"/>
              <w:snapToGrid w:val="0"/>
              <w:spacing w:line="240" w:lineRule="auto"/>
              <w:ind w:firstLine="0" w:firstLineChars="0"/>
              <w:jc w:val="left"/>
              <w:rPr>
                <w:rFonts w:hint="eastAsia" w:ascii="仿宋_GB2312" w:hAnsi="宋体" w:eastAsia="仿宋_GB2312" w:cs="宋体"/>
                <w:kern w:val="2"/>
                <w:sz w:val="24"/>
                <w:szCs w:val="24"/>
                <w:highlight w:val="none"/>
                <w:lang w:val="en-US" w:eastAsia="zh-CN" w:bidi="ar-SA"/>
              </w:rPr>
            </w:pPr>
            <w:r>
              <w:rPr>
                <w:rFonts w:hint="eastAsia" w:ascii="仿宋_GB2312" w:hAnsi="宋体" w:cs="宋体"/>
                <w:sz w:val="24"/>
                <w:szCs w:val="24"/>
                <w:highlight w:val="none"/>
              </w:rPr>
              <w:t>新能源汽车生产制造</w:t>
            </w:r>
            <w:r>
              <w:rPr>
                <w:rFonts w:hint="eastAsia" w:ascii="仿宋_GB2312" w:hAnsi="宋体" w:cs="宋体"/>
                <w:sz w:val="24"/>
                <w:szCs w:val="24"/>
                <w:highlight w:val="none"/>
                <w:lang w:val="en-US" w:eastAsia="zh-CN"/>
              </w:rPr>
              <w:t>业</w:t>
            </w:r>
            <w:r>
              <w:rPr>
                <w:rFonts w:hint="eastAsia" w:ascii="仿宋_GB2312" w:hAnsi="宋体" w:cs="宋体"/>
                <w:sz w:val="24"/>
                <w:szCs w:val="24"/>
                <w:highlight w:val="none"/>
              </w:rPr>
              <w:t>岗位</w:t>
            </w:r>
          </w:p>
        </w:tc>
        <w:tc>
          <w:tcPr>
            <w:tcW w:w="557" w:type="pct"/>
            <w:tcBorders>
              <w:top w:val="outset" w:color="000000" w:sz="6" w:space="0"/>
              <w:left w:val="outset" w:color="000000" w:sz="6" w:space="0"/>
              <w:bottom w:val="outset" w:color="000000" w:sz="6" w:space="0"/>
              <w:right w:val="outset" w:color="000000" w:sz="6" w:space="0"/>
            </w:tcBorders>
            <w:shd w:val="clear" w:color="auto" w:fill="auto"/>
            <w:tcMar>
              <w:left w:w="113" w:type="dxa"/>
              <w:right w:w="113" w:type="dxa"/>
            </w:tcMar>
            <w:vAlign w:val="center"/>
          </w:tcPr>
          <w:p w14:paraId="3AF23314">
            <w:pPr>
              <w:pStyle w:val="7"/>
              <w:adjustRightInd w:val="0"/>
              <w:snapToGrid w:val="0"/>
              <w:spacing w:line="240" w:lineRule="auto"/>
              <w:ind w:firstLine="0" w:firstLineChars="0"/>
              <w:rPr>
                <w:rFonts w:hint="eastAsia" w:ascii="仿宋_GB2312" w:hAnsi="宋体" w:eastAsia="仿宋_GB2312" w:cs="宋体"/>
                <w:kern w:val="2"/>
                <w:sz w:val="24"/>
                <w:szCs w:val="24"/>
                <w:highlight w:val="none"/>
                <w:lang w:val="en-US" w:eastAsia="zh-CN" w:bidi="ar-SA"/>
              </w:rPr>
            </w:pPr>
            <w:r>
              <w:rPr>
                <w:rFonts w:hint="eastAsia" w:ascii="仿宋_GB2312" w:hAnsi="宋体" w:cs="宋体"/>
                <w:sz w:val="24"/>
                <w:szCs w:val="24"/>
                <w:highlight w:val="none"/>
              </w:rPr>
              <w:t>整车装配工</w:t>
            </w:r>
            <w:r>
              <w:rPr>
                <w:rFonts w:hint="eastAsia" w:ascii="仿宋_GB2312" w:hAnsi="宋体" w:cs="宋体"/>
                <w:sz w:val="24"/>
                <w:szCs w:val="24"/>
                <w:highlight w:val="none"/>
                <w:lang w:eastAsia="zh-CN"/>
              </w:rPr>
              <w:t>、</w:t>
            </w:r>
            <w:r>
              <w:rPr>
                <w:rFonts w:hint="eastAsia" w:ascii="仿宋_GB2312" w:hAnsi="宋体" w:cs="宋体"/>
                <w:sz w:val="24"/>
                <w:szCs w:val="24"/>
                <w:highlight w:val="none"/>
              </w:rPr>
              <w:t>部件装配工</w:t>
            </w:r>
            <w:r>
              <w:rPr>
                <w:rFonts w:hint="eastAsia" w:ascii="仿宋_GB2312" w:hAnsi="宋体" w:cs="宋体"/>
                <w:sz w:val="24"/>
                <w:szCs w:val="24"/>
                <w:highlight w:val="none"/>
                <w:lang w:eastAsia="zh-CN"/>
              </w:rPr>
              <w:t>、</w:t>
            </w:r>
            <w:r>
              <w:rPr>
                <w:rFonts w:hint="eastAsia" w:ascii="仿宋_GB2312" w:hAnsi="宋体" w:cs="宋体"/>
                <w:sz w:val="24"/>
                <w:szCs w:val="24"/>
                <w:highlight w:val="none"/>
              </w:rPr>
              <w:t>调试工</w:t>
            </w:r>
            <w:r>
              <w:rPr>
                <w:rFonts w:hint="eastAsia" w:ascii="仿宋_GB2312" w:hAnsi="宋体" w:cs="宋体"/>
                <w:sz w:val="24"/>
                <w:szCs w:val="24"/>
                <w:highlight w:val="none"/>
                <w:lang w:eastAsia="zh-CN"/>
              </w:rPr>
              <w:t>、</w:t>
            </w:r>
            <w:r>
              <w:rPr>
                <w:rFonts w:hint="eastAsia" w:ascii="仿宋_GB2312" w:hAnsi="宋体" w:cs="宋体"/>
                <w:sz w:val="24"/>
                <w:szCs w:val="24"/>
                <w:highlight w:val="none"/>
              </w:rPr>
              <w:t>质量检测工
</w:t>
            </w:r>
          </w:p>
        </w:tc>
        <w:tc>
          <w:tcPr>
            <w:tcW w:w="2379" w:type="pct"/>
            <w:tcBorders>
              <w:top w:val="outset" w:color="000000" w:sz="6" w:space="0"/>
              <w:left w:val="outset" w:color="000000" w:sz="6" w:space="0"/>
              <w:bottom w:val="outset" w:color="000000" w:sz="6" w:space="0"/>
              <w:right w:val="outset" w:color="000000" w:sz="6" w:space="0"/>
            </w:tcBorders>
            <w:shd w:val="clear" w:color="auto" w:fill="auto"/>
            <w:tcMar>
              <w:left w:w="113" w:type="dxa"/>
              <w:right w:w="113" w:type="dxa"/>
            </w:tcMar>
            <w:vAlign w:val="center"/>
          </w:tcPr>
          <w:p w14:paraId="1D8ECE31">
            <w:pPr>
              <w:snapToGrid w:val="0"/>
              <w:ind w:right="159"/>
              <w:rPr>
                <w:rFonts w:ascii="仿宋_GB2312" w:hAnsi="宋体" w:cs="宋体"/>
                <w:color w:val="000000" w:themeColor="text1"/>
                <w:spacing w:val="5"/>
                <w:sz w:val="24"/>
                <w:szCs w:val="24"/>
                <w:highlight w:val="none"/>
                <w14:textFill>
                  <w14:solidFill>
                    <w14:schemeClr w14:val="tx1"/>
                  </w14:solidFill>
                </w14:textFill>
              </w:rPr>
            </w:pPr>
            <w:r>
              <w:rPr>
                <w:rFonts w:hint="eastAsia" w:ascii="仿宋_GB2312" w:hAnsi="宋体" w:cs="宋体"/>
                <w:color w:val="000000" w:themeColor="text1"/>
                <w:spacing w:val="5"/>
                <w:sz w:val="24"/>
                <w:szCs w:val="24"/>
                <w:highlight w:val="none"/>
                <w14:textFill>
                  <w14:solidFill>
                    <w14:schemeClr w14:val="tx1"/>
                  </w14:solidFill>
                </w14:textFill>
              </w:rPr>
              <w:t>(1)</w:t>
            </w:r>
            <w:r>
              <w:rPr>
                <w:rFonts w:hint="eastAsia" w:ascii="仿宋_GB2312" w:hAnsi="宋体" w:cs="宋体"/>
                <w:color w:val="000000" w:themeColor="text1"/>
                <w:spacing w:val="7"/>
                <w:sz w:val="24"/>
                <w:szCs w:val="24"/>
                <w:highlight w:val="none"/>
                <w14:textFill>
                  <w14:solidFill>
                    <w14:schemeClr w14:val="tx1"/>
                  </w14:solidFill>
                </w14:textFill>
              </w:rPr>
              <w:t>熟识新能源汽车零部件的装配技术要求和</w:t>
            </w:r>
            <w:r>
              <w:rPr>
                <w:rFonts w:hint="eastAsia" w:ascii="仿宋_GB2312" w:hAnsi="宋体" w:cs="宋体"/>
                <w:color w:val="000000" w:themeColor="text1"/>
                <w:spacing w:val="5"/>
                <w:sz w:val="24"/>
                <w:szCs w:val="24"/>
                <w:highlight w:val="none"/>
                <w14:textFill>
                  <w14:solidFill>
                    <w14:schemeClr w14:val="tx1"/>
                  </w14:solidFill>
                </w14:textFill>
              </w:rPr>
              <w:t>工艺；</w:t>
            </w:r>
          </w:p>
          <w:p w14:paraId="1B5037BF">
            <w:pPr>
              <w:snapToGrid w:val="0"/>
              <w:ind w:right="159"/>
              <w:rPr>
                <w:rFonts w:ascii="仿宋_GB2312" w:hAnsi="宋体" w:cs="宋体"/>
                <w:color w:val="000000" w:themeColor="text1"/>
                <w:spacing w:val="7"/>
                <w:sz w:val="24"/>
                <w:szCs w:val="24"/>
                <w:highlight w:val="none"/>
                <w14:textFill>
                  <w14:solidFill>
                    <w14:schemeClr w14:val="tx1"/>
                  </w14:solidFill>
                </w14:textFill>
              </w:rPr>
            </w:pPr>
            <w:r>
              <w:rPr>
                <w:rFonts w:hint="eastAsia" w:ascii="仿宋_GB2312" w:hAnsi="宋体" w:cs="宋体"/>
                <w:color w:val="000000" w:themeColor="text1"/>
                <w:spacing w:val="12"/>
                <w:sz w:val="24"/>
                <w:szCs w:val="24"/>
                <w:highlight w:val="none"/>
                <w14:textFill>
                  <w14:solidFill>
                    <w14:schemeClr w14:val="tx1"/>
                  </w14:solidFill>
                </w14:textFill>
              </w:rPr>
              <w:t>(</w:t>
            </w:r>
            <w:r>
              <w:rPr>
                <w:rFonts w:ascii="仿宋_GB2312" w:hAnsi="宋体" w:cs="宋体"/>
                <w:color w:val="000000" w:themeColor="text1"/>
                <w:spacing w:val="7"/>
                <w:sz w:val="24"/>
                <w:szCs w:val="24"/>
                <w:highlight w:val="none"/>
                <w14:textFill>
                  <w14:solidFill>
                    <w14:schemeClr w14:val="tx1"/>
                  </w14:solidFill>
                </w14:textFill>
              </w:rPr>
              <w:t>2</w:t>
            </w:r>
            <w:r>
              <w:rPr>
                <w:rFonts w:hint="eastAsia" w:ascii="仿宋_GB2312" w:hAnsi="宋体" w:cs="宋体"/>
                <w:color w:val="000000" w:themeColor="text1"/>
                <w:spacing w:val="7"/>
                <w:sz w:val="24"/>
                <w:szCs w:val="24"/>
                <w:highlight w:val="none"/>
                <w14:textFill>
                  <w14:solidFill>
                    <w14:schemeClr w14:val="tx1"/>
                  </w14:solidFill>
                </w14:textFill>
              </w:rPr>
              <w:t>)能对安装的总成件进行质量的初步检验和</w:t>
            </w:r>
            <w:r>
              <w:rPr>
                <w:rFonts w:hint="eastAsia" w:ascii="仿宋_GB2312" w:hAnsi="宋体" w:cs="宋体"/>
                <w:color w:val="000000" w:themeColor="text1"/>
                <w:spacing w:val="5"/>
                <w:sz w:val="24"/>
                <w:szCs w:val="24"/>
                <w:highlight w:val="none"/>
                <w14:textFill>
                  <w14:solidFill>
                    <w14:schemeClr w14:val="tx1"/>
                  </w14:solidFill>
                </w14:textFill>
              </w:rPr>
              <w:t>分析；</w:t>
            </w:r>
          </w:p>
          <w:p w14:paraId="00DE3723">
            <w:pPr>
              <w:snapToGrid w:val="0"/>
              <w:ind w:right="159"/>
              <w:rPr>
                <w:rFonts w:ascii="仿宋_GB2312" w:hAnsi="宋体" w:cs="宋体"/>
                <w:color w:val="000000" w:themeColor="text1"/>
                <w:spacing w:val="7"/>
                <w:sz w:val="24"/>
                <w:szCs w:val="24"/>
                <w:highlight w:val="none"/>
                <w14:textFill>
                  <w14:solidFill>
                    <w14:schemeClr w14:val="tx1"/>
                  </w14:solidFill>
                </w14:textFill>
              </w:rPr>
            </w:pPr>
            <w:r>
              <w:rPr>
                <w:rFonts w:hint="eastAsia" w:ascii="仿宋_GB2312" w:hAnsi="宋体" w:cs="宋体"/>
                <w:color w:val="000000" w:themeColor="text1"/>
                <w:spacing w:val="7"/>
                <w:sz w:val="24"/>
                <w:szCs w:val="24"/>
                <w:highlight w:val="none"/>
                <w14:textFill>
                  <w14:solidFill>
                    <w14:schemeClr w14:val="tx1"/>
                  </w14:solidFill>
                </w14:textFill>
              </w:rPr>
              <w:t>(</w:t>
            </w:r>
            <w:r>
              <w:rPr>
                <w:rFonts w:ascii="仿宋_GB2312" w:hAnsi="宋体" w:cs="宋体"/>
                <w:color w:val="000000" w:themeColor="text1"/>
                <w:spacing w:val="7"/>
                <w:sz w:val="24"/>
                <w:szCs w:val="24"/>
                <w:highlight w:val="none"/>
                <w14:textFill>
                  <w14:solidFill>
                    <w14:schemeClr w14:val="tx1"/>
                  </w14:solidFill>
                </w14:textFill>
              </w:rPr>
              <w:t>3</w:t>
            </w:r>
            <w:r>
              <w:rPr>
                <w:rFonts w:hint="eastAsia" w:ascii="仿宋_GB2312" w:hAnsi="宋体" w:cs="宋体"/>
                <w:color w:val="000000" w:themeColor="text1"/>
                <w:spacing w:val="7"/>
                <w:sz w:val="24"/>
                <w:szCs w:val="24"/>
                <w:highlight w:val="none"/>
                <w14:textFill>
                  <w14:solidFill>
                    <w14:schemeClr w14:val="tx1"/>
                  </w14:solidFill>
                </w14:textFill>
              </w:rPr>
              <w:t>)良好的沟通协调能力、主动的学习能力</w:t>
            </w:r>
            <w:r>
              <w:rPr>
                <w:rFonts w:hint="eastAsia" w:ascii="仿宋_GB2312" w:hAnsi="宋体" w:cs="宋体"/>
                <w:color w:val="000000" w:themeColor="text1"/>
                <w:spacing w:val="13"/>
                <w:sz w:val="24"/>
                <w:szCs w:val="24"/>
                <w:highlight w:val="none"/>
                <w14:textFill>
                  <w14:solidFill>
                    <w14:schemeClr w14:val="tx1"/>
                  </w14:solidFill>
                </w14:textFill>
              </w:rPr>
              <w:t>和</w:t>
            </w:r>
            <w:r>
              <w:rPr>
                <w:rFonts w:hint="eastAsia" w:ascii="仿宋_GB2312" w:hAnsi="宋体" w:cs="宋体"/>
                <w:color w:val="000000" w:themeColor="text1"/>
                <w:spacing w:val="7"/>
                <w:sz w:val="24"/>
                <w:szCs w:val="24"/>
                <w:highlight w:val="none"/>
                <w14:textFill>
                  <w14:solidFill>
                    <w14:schemeClr w14:val="tx1"/>
                  </w14:solidFill>
                </w14:textFill>
              </w:rPr>
              <w:t>团队合作意识；</w:t>
            </w:r>
          </w:p>
          <w:p w14:paraId="3AC1E82D">
            <w:pPr>
              <w:snapToGrid w:val="0"/>
              <w:ind w:right="159"/>
              <w:rPr>
                <w:rFonts w:ascii="仿宋_GB2312" w:hAnsi="宋体" w:cs="宋体"/>
                <w:color w:val="000000" w:themeColor="text1"/>
                <w:sz w:val="24"/>
                <w:szCs w:val="24"/>
                <w:highlight w:val="none"/>
                <w14:textFill>
                  <w14:solidFill>
                    <w14:schemeClr w14:val="tx1"/>
                  </w14:solidFill>
                </w14:textFill>
              </w:rPr>
            </w:pPr>
            <w:r>
              <w:rPr>
                <w:rFonts w:hint="eastAsia" w:ascii="仿宋_GB2312" w:hAnsi="宋体" w:cs="宋体"/>
                <w:color w:val="000000" w:themeColor="text1"/>
                <w:spacing w:val="9"/>
                <w:sz w:val="24"/>
                <w:szCs w:val="24"/>
                <w:highlight w:val="none"/>
                <w14:textFill>
                  <w14:solidFill>
                    <w14:schemeClr w14:val="tx1"/>
                  </w14:solidFill>
                </w14:textFill>
              </w:rPr>
              <w:t>(</w:t>
            </w:r>
            <w:r>
              <w:rPr>
                <w:rFonts w:ascii="仿宋_GB2312" w:hAnsi="宋体" w:cs="宋体"/>
                <w:color w:val="000000" w:themeColor="text1"/>
                <w:spacing w:val="5"/>
                <w:sz w:val="24"/>
                <w:szCs w:val="24"/>
                <w:highlight w:val="none"/>
                <w14:textFill>
                  <w14:solidFill>
                    <w14:schemeClr w14:val="tx1"/>
                  </w14:solidFill>
                </w14:textFill>
              </w:rPr>
              <w:t>4</w:t>
            </w:r>
            <w:r>
              <w:rPr>
                <w:rFonts w:hint="eastAsia" w:ascii="仿宋_GB2312" w:hAnsi="宋体" w:cs="宋体"/>
                <w:color w:val="000000" w:themeColor="text1"/>
                <w:spacing w:val="5"/>
                <w:sz w:val="24"/>
                <w:szCs w:val="24"/>
                <w:highlight w:val="none"/>
                <w14:textFill>
                  <w14:solidFill>
                    <w14:schemeClr w14:val="tx1"/>
                  </w14:solidFill>
                </w14:textFill>
              </w:rPr>
              <w:t>)能吃苦耐劳、具有精益求精的工匠精神；</w:t>
            </w:r>
          </w:p>
          <w:p w14:paraId="6B00F1CD">
            <w:pPr>
              <w:pStyle w:val="7"/>
              <w:adjustRightInd w:val="0"/>
              <w:snapToGrid w:val="0"/>
              <w:spacing w:line="240" w:lineRule="auto"/>
              <w:ind w:firstLine="0" w:firstLineChars="0"/>
              <w:rPr>
                <w:rFonts w:ascii="仿宋_GB2312" w:hAnsi="宋体" w:eastAsia="仿宋_GB2312" w:cs="宋体"/>
                <w:kern w:val="2"/>
                <w:sz w:val="24"/>
                <w:szCs w:val="24"/>
                <w:highlight w:val="none"/>
                <w:lang w:val="en-US" w:eastAsia="zh-CN" w:bidi="ar-SA"/>
              </w:rPr>
            </w:pPr>
            <w:r>
              <w:rPr>
                <w:rFonts w:hint="eastAsia" w:ascii="仿宋_GB2312" w:hAnsi="宋体" w:cs="宋体"/>
                <w:color w:val="000000" w:themeColor="text1"/>
                <w:spacing w:val="6"/>
                <w:sz w:val="24"/>
                <w:szCs w:val="24"/>
                <w:highlight w:val="none"/>
                <w14:textFill>
                  <w14:solidFill>
                    <w14:schemeClr w14:val="tx1"/>
                  </w14:solidFill>
                </w14:textFill>
              </w:rPr>
              <w:t>(</w:t>
            </w:r>
            <w:r>
              <w:rPr>
                <w:rFonts w:ascii="仿宋_GB2312" w:hAnsi="宋体" w:cs="宋体"/>
                <w:color w:val="000000" w:themeColor="text1"/>
                <w:spacing w:val="6"/>
                <w:sz w:val="24"/>
                <w:szCs w:val="24"/>
                <w:highlight w:val="none"/>
                <w14:textFill>
                  <w14:solidFill>
                    <w14:schemeClr w14:val="tx1"/>
                  </w14:solidFill>
                </w14:textFill>
              </w:rPr>
              <w:t>5</w:t>
            </w:r>
            <w:r>
              <w:rPr>
                <w:rFonts w:hint="eastAsia" w:ascii="仿宋_GB2312" w:hAnsi="宋体" w:cs="宋体"/>
                <w:color w:val="000000" w:themeColor="text1"/>
                <w:spacing w:val="6"/>
                <w:sz w:val="24"/>
                <w:szCs w:val="24"/>
                <w:highlight w:val="none"/>
                <w14:textFill>
                  <w14:solidFill>
                    <w14:schemeClr w14:val="tx1"/>
                  </w14:solidFill>
                </w14:textFill>
              </w:rPr>
              <w:t>)能参与解决现场的实际问题</w:t>
            </w:r>
            <w:r>
              <w:rPr>
                <w:rFonts w:hint="eastAsia" w:ascii="仿宋_GB2312" w:hAnsi="宋体" w:cs="宋体"/>
                <w:color w:val="000000" w:themeColor="text1"/>
                <w:spacing w:val="5"/>
                <w:sz w:val="24"/>
                <w:szCs w:val="24"/>
                <w:highlight w:val="none"/>
                <w14:textFill>
                  <w14:solidFill>
                    <w14:schemeClr w14:val="tx1"/>
                  </w14:solidFill>
                </w14:textFill>
              </w:rPr>
              <w:t>。</w:t>
            </w:r>
          </w:p>
        </w:tc>
        <w:tc>
          <w:tcPr>
            <w:tcW w:w="942" w:type="pct"/>
            <w:tcBorders>
              <w:top w:val="outset" w:color="000000" w:sz="6" w:space="0"/>
              <w:left w:val="outset" w:color="000000" w:sz="6" w:space="0"/>
              <w:bottom w:val="outset" w:color="000000" w:sz="6" w:space="0"/>
              <w:right w:val="outset" w:color="000000" w:sz="6" w:space="0"/>
            </w:tcBorders>
            <w:shd w:val="clear" w:color="auto" w:fill="auto"/>
            <w:tcMar>
              <w:left w:w="113" w:type="dxa"/>
              <w:right w:w="113" w:type="dxa"/>
            </w:tcMar>
            <w:vAlign w:val="center"/>
          </w:tcPr>
          <w:p w14:paraId="7E6F6028">
            <w:pPr>
              <w:snapToGrid w:val="0"/>
              <w:jc w:val="left"/>
              <w:rPr>
                <w:rFonts w:hint="eastAsia" w:ascii="仿宋_GB2312" w:hAnsi="仿宋_GB2312" w:cs="仿宋_GB2312"/>
                <w:color w:val="000000" w:themeColor="text1"/>
                <w:kern w:val="0"/>
                <w:sz w:val="24"/>
                <w:szCs w:val="24"/>
                <w:highlight w:val="none"/>
                <w:lang w:val="en-US" w:eastAsia="zh-CN"/>
                <w14:textFill>
                  <w14:solidFill>
                    <w14:schemeClr w14:val="tx1"/>
                  </w14:solidFill>
                </w14:textFill>
              </w:rPr>
            </w:pPr>
            <w:r>
              <w:rPr>
                <w:rFonts w:hint="eastAsia" w:ascii="仿宋_GB2312" w:hAnsi="仿宋_GB2312" w:cs="仿宋_GB2312"/>
                <w:color w:val="000000" w:themeColor="text1"/>
                <w:kern w:val="0"/>
                <w:sz w:val="24"/>
                <w:szCs w:val="24"/>
                <w:highlight w:val="none"/>
                <w:lang w:val="en-US" w:eastAsia="zh-CN"/>
                <w14:textFill>
                  <w14:solidFill>
                    <w14:schemeClr w14:val="tx1"/>
                  </w14:solidFill>
                </w14:textFill>
              </w:rPr>
              <w:t>汽车生产与质量管控</w:t>
            </w:r>
          </w:p>
          <w:p w14:paraId="4DB726E6">
            <w:pPr>
              <w:snapToGrid w:val="0"/>
              <w:jc w:val="left"/>
              <w:rPr>
                <w:rFonts w:ascii="仿宋_GB2312" w:hAnsi="仿宋_GB2312" w:cs="仿宋_GB2312"/>
                <w:color w:val="000000" w:themeColor="text1"/>
                <w:kern w:val="0"/>
                <w:sz w:val="24"/>
                <w:szCs w:val="24"/>
                <w:highlight w:val="none"/>
                <w14:textFill>
                  <w14:solidFill>
                    <w14:schemeClr w14:val="tx1"/>
                  </w14:solidFill>
                </w14:textFill>
              </w:rPr>
            </w:pPr>
            <w:r>
              <w:rPr>
                <w:rFonts w:hint="eastAsia" w:ascii="仿宋_GB2312" w:hAnsi="仿宋_GB2312" w:cs="仿宋_GB2312"/>
                <w:color w:val="000000" w:themeColor="text1"/>
                <w:kern w:val="0"/>
                <w:sz w:val="24"/>
                <w:szCs w:val="24"/>
                <w:highlight w:val="none"/>
                <w14:textFill>
                  <w14:solidFill>
                    <w14:schemeClr w14:val="tx1"/>
                  </w14:solidFill>
                </w14:textFill>
              </w:rPr>
              <w:t>新能源汽车底盘系统检修</w:t>
            </w:r>
          </w:p>
          <w:p w14:paraId="7639194D">
            <w:pPr>
              <w:snapToGrid w:val="0"/>
              <w:jc w:val="left"/>
              <w:rPr>
                <w:rFonts w:ascii="仿宋_GB2312" w:hAnsi="仿宋_GB2312" w:cs="仿宋_GB2312"/>
                <w:color w:val="000000" w:themeColor="text1"/>
                <w:kern w:val="0"/>
                <w:sz w:val="24"/>
                <w:szCs w:val="24"/>
                <w:highlight w:val="none"/>
                <w14:textFill>
                  <w14:solidFill>
                    <w14:schemeClr w14:val="tx1"/>
                  </w14:solidFill>
                </w14:textFill>
              </w:rPr>
            </w:pPr>
            <w:r>
              <w:rPr>
                <w:rFonts w:hint="eastAsia" w:ascii="仿宋_GB2312" w:hAnsi="仿宋_GB2312" w:cs="仿宋_GB2312"/>
                <w:color w:val="000000" w:themeColor="text1"/>
                <w:kern w:val="0"/>
                <w:sz w:val="24"/>
                <w:szCs w:val="24"/>
                <w:highlight w:val="none"/>
                <w14:textFill>
                  <w14:solidFill>
                    <w14:schemeClr w14:val="tx1"/>
                  </w14:solidFill>
                </w14:textFill>
              </w:rPr>
              <w:t>汽车电气系统检修</w:t>
            </w:r>
          </w:p>
          <w:p w14:paraId="31A0B369">
            <w:pPr>
              <w:snapToGrid w:val="0"/>
              <w:jc w:val="left"/>
              <w:rPr>
                <w:rFonts w:ascii="仿宋_GB2312" w:hAnsi="仿宋_GB2312" w:cs="仿宋_GB2312"/>
                <w:color w:val="000000" w:themeColor="text1"/>
                <w:kern w:val="0"/>
                <w:sz w:val="24"/>
                <w:szCs w:val="24"/>
                <w:highlight w:val="none"/>
                <w14:textFill>
                  <w14:solidFill>
                    <w14:schemeClr w14:val="tx1"/>
                  </w14:solidFill>
                </w14:textFill>
              </w:rPr>
            </w:pPr>
            <w:r>
              <w:rPr>
                <w:rFonts w:hint="eastAsia" w:ascii="仿宋_GB2312" w:hAnsi="仿宋_GB2312" w:cs="仿宋_GB2312"/>
                <w:color w:val="000000" w:themeColor="text1"/>
                <w:kern w:val="0"/>
                <w:sz w:val="24"/>
                <w:szCs w:val="24"/>
                <w:highlight w:val="none"/>
                <w14:textFill>
                  <w14:solidFill>
                    <w14:schemeClr w14:val="tx1"/>
                  </w14:solidFill>
                </w14:textFill>
              </w:rPr>
              <w:t>新能源汽车动力蓄电池及管理系统检修</w:t>
            </w:r>
          </w:p>
          <w:p w14:paraId="2297D900">
            <w:pPr>
              <w:pStyle w:val="7"/>
              <w:adjustRightInd w:val="0"/>
              <w:snapToGrid w:val="0"/>
              <w:spacing w:line="240" w:lineRule="auto"/>
              <w:ind w:firstLine="0" w:firstLineChars="0"/>
              <w:rPr>
                <w:rFonts w:ascii="仿宋_GB2312" w:hAnsi="宋体" w:eastAsia="仿宋_GB2312" w:cs="Times New Roman"/>
                <w:kern w:val="2"/>
                <w:sz w:val="24"/>
                <w:szCs w:val="24"/>
                <w:highlight w:val="none"/>
                <w:lang w:val="en-US" w:eastAsia="zh-CN" w:bidi="ar-SA"/>
              </w:rPr>
            </w:pPr>
          </w:p>
        </w:tc>
      </w:tr>
      <w:tr w14:paraId="46E792C7">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425" w:type="pct"/>
            <w:tcBorders>
              <w:top w:val="outset" w:color="000000" w:sz="6" w:space="0"/>
              <w:left w:val="outset" w:color="000000" w:sz="6" w:space="0"/>
              <w:bottom w:val="outset" w:color="000000" w:sz="6" w:space="0"/>
              <w:right w:val="outset" w:color="000000" w:sz="6" w:space="0"/>
            </w:tcBorders>
            <w:vAlign w:val="center"/>
          </w:tcPr>
          <w:p w14:paraId="696BFC31">
            <w:pPr>
              <w:widowControl/>
              <w:spacing w:before="100" w:beforeAutospacing="1" w:after="100" w:afterAutospacing="1"/>
              <w:jc w:val="center"/>
              <w:rPr>
                <w:rFonts w:ascii="仿宋_GB2312" w:hAnsi="仿宋_GB2312" w:cs="仿宋_GB2312"/>
                <w:kern w:val="0"/>
                <w:sz w:val="21"/>
                <w:szCs w:val="21"/>
                <w:highlight w:val="none"/>
              </w:rPr>
            </w:pPr>
            <w:r>
              <w:rPr>
                <w:rFonts w:hint="eastAsia" w:ascii="仿宋_GB2312" w:hAnsi="仿宋_GB2312" w:cs="仿宋_GB2312"/>
                <w:bCs/>
                <w:kern w:val="0"/>
                <w:sz w:val="21"/>
                <w:szCs w:val="21"/>
                <w:highlight w:val="none"/>
              </w:rPr>
              <w:t>2</w:t>
            </w:r>
          </w:p>
        </w:tc>
        <w:tc>
          <w:tcPr>
            <w:tcW w:w="695" w:type="pct"/>
            <w:tcBorders>
              <w:top w:val="outset" w:color="000000" w:sz="6" w:space="0"/>
              <w:left w:val="outset" w:color="000000" w:sz="6" w:space="0"/>
              <w:bottom w:val="outset" w:color="000000" w:sz="6" w:space="0"/>
              <w:right w:val="outset" w:color="000000" w:sz="6" w:space="0"/>
            </w:tcBorders>
            <w:shd w:val="clear" w:color="auto" w:fill="auto"/>
            <w:tcMar>
              <w:left w:w="113" w:type="dxa"/>
              <w:right w:w="113" w:type="dxa"/>
            </w:tcMar>
            <w:vAlign w:val="center"/>
          </w:tcPr>
          <w:p w14:paraId="6EB6C0EF">
            <w:pPr>
              <w:jc w:val="left"/>
              <w:rPr>
                <w:rFonts w:ascii="仿宋_GB2312" w:hAnsi="仿宋_GB2312" w:eastAsia="仿宋_GB2312" w:cs="仿宋_GB2312"/>
                <w:kern w:val="0"/>
                <w:sz w:val="24"/>
                <w:szCs w:val="24"/>
                <w:highlight w:val="none"/>
                <w:lang w:val="en-US" w:eastAsia="zh-CN" w:bidi="ar-SA"/>
              </w:rPr>
            </w:pPr>
            <w:r>
              <w:rPr>
                <w:rFonts w:hint="eastAsia" w:ascii="仿宋_GB2312" w:hAnsi="仿宋_GB2312" w:cs="仿宋_GB2312"/>
                <w:bCs/>
                <w:kern w:val="0"/>
                <w:sz w:val="24"/>
                <w:szCs w:val="24"/>
                <w:highlight w:val="none"/>
              </w:rPr>
              <w:t>新能源汽车售后维修类职业岗位</w:t>
            </w:r>
          </w:p>
        </w:tc>
        <w:tc>
          <w:tcPr>
            <w:tcW w:w="557" w:type="pct"/>
            <w:tcBorders>
              <w:top w:val="outset" w:color="000000" w:sz="6" w:space="0"/>
              <w:left w:val="outset" w:color="000000" w:sz="6" w:space="0"/>
              <w:bottom w:val="outset" w:color="000000" w:sz="6" w:space="0"/>
              <w:right w:val="outset" w:color="000000" w:sz="6" w:space="0"/>
            </w:tcBorders>
            <w:shd w:val="clear" w:color="auto" w:fill="auto"/>
            <w:tcMar>
              <w:left w:w="113" w:type="dxa"/>
              <w:right w:w="113" w:type="dxa"/>
            </w:tcMar>
            <w:vAlign w:val="center"/>
          </w:tcPr>
          <w:p w14:paraId="76BBAB5A">
            <w:pPr>
              <w:pStyle w:val="7"/>
              <w:adjustRightInd w:val="0"/>
              <w:snapToGrid w:val="0"/>
              <w:spacing w:line="240" w:lineRule="auto"/>
              <w:ind w:firstLine="0" w:firstLineChars="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机电维修工</w:t>
            </w:r>
            <w:r>
              <w:rPr>
                <w:rFonts w:hint="eastAsia" w:ascii="仿宋_GB2312" w:hAnsi="宋体" w:cs="宋体"/>
                <w:sz w:val="24"/>
                <w:szCs w:val="24"/>
                <w:highlight w:val="none"/>
              </w:rPr>
              <w:t>、</w:t>
            </w:r>
            <w:r>
              <w:rPr>
                <w:rFonts w:hint="eastAsia" w:ascii="仿宋_GB2312" w:hAnsi="宋体" w:cs="宋体"/>
                <w:sz w:val="24"/>
                <w:szCs w:val="24"/>
                <w:highlight w:val="none"/>
                <w:lang w:val="en-US" w:eastAsia="zh-CN"/>
              </w:rPr>
              <w:t>维</w:t>
            </w:r>
            <w:r>
              <w:rPr>
                <w:rFonts w:hint="eastAsia" w:ascii="方正仿宋_GB2312" w:hAnsi="方正仿宋_GB2312" w:eastAsia="方正仿宋_GB2312" w:cs="方正仿宋_GB2312"/>
                <w:sz w:val="24"/>
                <w:szCs w:val="24"/>
                <w:highlight w:val="none"/>
              </w:rPr>
              <w:t>修接待员</w:t>
            </w:r>
          </w:p>
          <w:p w14:paraId="460D3446">
            <w:pPr>
              <w:pStyle w:val="7"/>
              <w:adjustRightInd w:val="0"/>
              <w:snapToGrid w:val="0"/>
              <w:spacing w:line="240" w:lineRule="auto"/>
              <w:ind w:firstLine="0" w:firstLineChars="0"/>
              <w:rPr>
                <w:rFonts w:ascii="仿宋_GB2312" w:hAnsi="宋体" w:eastAsia="仿宋_GB2312" w:cs="宋体"/>
                <w:kern w:val="2"/>
                <w:sz w:val="24"/>
                <w:szCs w:val="24"/>
                <w:highlight w:val="none"/>
                <w:lang w:val="en-US" w:eastAsia="zh-CN" w:bidi="ar-SA"/>
              </w:rPr>
            </w:pPr>
            <w:r>
              <w:rPr>
                <w:rFonts w:hint="eastAsia" w:ascii="方正仿宋_GB2312" w:hAnsi="方正仿宋_GB2312" w:eastAsia="方正仿宋_GB2312" w:cs="方正仿宋_GB2312"/>
                <w:sz w:val="24"/>
                <w:szCs w:val="24"/>
                <w:highlight w:val="none"/>
              </w:rPr>
              <w:t>质检专员</w:t>
            </w:r>
          </w:p>
        </w:tc>
        <w:tc>
          <w:tcPr>
            <w:tcW w:w="2379" w:type="pct"/>
            <w:tcBorders>
              <w:top w:val="outset" w:color="000000" w:sz="6" w:space="0"/>
              <w:left w:val="outset" w:color="000000" w:sz="6" w:space="0"/>
              <w:bottom w:val="outset" w:color="000000" w:sz="6" w:space="0"/>
              <w:right w:val="outset" w:color="000000" w:sz="6" w:space="0"/>
            </w:tcBorders>
            <w:shd w:val="clear" w:color="auto" w:fill="auto"/>
            <w:tcMar>
              <w:left w:w="113" w:type="dxa"/>
              <w:right w:w="113" w:type="dxa"/>
            </w:tcMar>
            <w:vAlign w:val="center"/>
          </w:tcPr>
          <w:p w14:paraId="534A6E2C">
            <w:pPr>
              <w:widowControl/>
              <w:kinsoku w:val="0"/>
              <w:autoSpaceDE w:val="0"/>
              <w:autoSpaceDN w:val="0"/>
              <w:adjustRightInd w:val="0"/>
              <w:snapToGrid w:val="0"/>
              <w:ind w:right="158"/>
              <w:textAlignment w:val="baseline"/>
              <w:rPr>
                <w:rFonts w:ascii="仿宋_GB2312" w:hAnsi="宋体" w:cs="宋体"/>
                <w:color w:val="000000" w:themeColor="text1"/>
                <w:spacing w:val="8"/>
                <w:sz w:val="24"/>
                <w:szCs w:val="24"/>
                <w:highlight w:val="none"/>
                <w14:textFill>
                  <w14:solidFill>
                    <w14:schemeClr w14:val="tx1"/>
                  </w14:solidFill>
                </w14:textFill>
              </w:rPr>
            </w:pPr>
            <w:r>
              <w:rPr>
                <w:rFonts w:hint="eastAsia" w:ascii="仿宋_GB2312" w:hAnsi="宋体" w:cs="宋体"/>
                <w:color w:val="000000" w:themeColor="text1"/>
                <w:spacing w:val="8"/>
                <w:sz w:val="24"/>
                <w:szCs w:val="24"/>
                <w:highlight w:val="none"/>
                <w14:textFill>
                  <w14:solidFill>
                    <w14:schemeClr w14:val="tx1"/>
                  </w14:solidFill>
                </w14:textFill>
              </w:rPr>
              <w:t>(1)</w:t>
            </w:r>
            <w:r>
              <w:rPr>
                <w:rFonts w:hint="eastAsia" w:ascii="仿宋_GB2312" w:hAnsi="宋体" w:cs="宋体"/>
                <w:color w:val="000000" w:themeColor="text1"/>
                <w:spacing w:val="7"/>
                <w:sz w:val="24"/>
                <w:szCs w:val="24"/>
                <w:highlight w:val="none"/>
                <w14:textFill>
                  <w14:solidFill>
                    <w14:schemeClr w14:val="tx1"/>
                  </w14:solidFill>
                </w14:textFill>
              </w:rPr>
              <w:t>负责对车辆的日常检查和维修，严格按</w:t>
            </w:r>
            <w:r>
              <w:rPr>
                <w:rFonts w:hint="eastAsia" w:ascii="仿宋_GB2312" w:hAnsi="宋体" w:cs="宋体"/>
                <w:color w:val="000000" w:themeColor="text1"/>
                <w:spacing w:val="15"/>
                <w:sz w:val="24"/>
                <w:szCs w:val="24"/>
                <w:highlight w:val="none"/>
                <w14:textFill>
                  <w14:solidFill>
                    <w14:schemeClr w14:val="tx1"/>
                  </w14:solidFill>
                </w14:textFill>
              </w:rPr>
              <w:t>照</w:t>
            </w:r>
            <w:r>
              <w:rPr>
                <w:rFonts w:hint="eastAsia" w:ascii="仿宋_GB2312" w:hAnsi="宋体" w:cs="宋体"/>
                <w:color w:val="000000" w:themeColor="text1"/>
                <w:spacing w:val="8"/>
                <w:sz w:val="24"/>
                <w:szCs w:val="24"/>
                <w:highlight w:val="none"/>
                <w14:textFill>
                  <w14:solidFill>
                    <w14:schemeClr w14:val="tx1"/>
                  </w14:solidFill>
                </w14:textFill>
              </w:rPr>
              <w:t>工艺和技术要求实施维修作业；</w:t>
            </w:r>
          </w:p>
          <w:p w14:paraId="745285BA">
            <w:pPr>
              <w:widowControl/>
              <w:kinsoku w:val="0"/>
              <w:autoSpaceDE w:val="0"/>
              <w:autoSpaceDN w:val="0"/>
              <w:adjustRightInd w:val="0"/>
              <w:snapToGrid w:val="0"/>
              <w:ind w:right="158"/>
              <w:textAlignment w:val="baseline"/>
              <w:rPr>
                <w:rFonts w:ascii="仿宋_GB2312" w:hAnsi="宋体" w:cs="宋体"/>
                <w:color w:val="000000" w:themeColor="text1"/>
                <w:spacing w:val="5"/>
                <w:sz w:val="24"/>
                <w:szCs w:val="24"/>
                <w:highlight w:val="none"/>
                <w14:textFill>
                  <w14:solidFill>
                    <w14:schemeClr w14:val="tx1"/>
                  </w14:solidFill>
                </w14:textFill>
              </w:rPr>
            </w:pPr>
            <w:r>
              <w:rPr>
                <w:rFonts w:hint="eastAsia" w:ascii="仿宋_GB2312" w:hAnsi="宋体" w:cs="宋体"/>
                <w:color w:val="000000" w:themeColor="text1"/>
                <w:spacing w:val="12"/>
                <w:sz w:val="24"/>
                <w:szCs w:val="24"/>
                <w:highlight w:val="none"/>
                <w14:textFill>
                  <w14:solidFill>
                    <w14:schemeClr w14:val="tx1"/>
                  </w14:solidFill>
                </w14:textFill>
              </w:rPr>
              <w:t>(</w:t>
            </w:r>
            <w:r>
              <w:rPr>
                <w:rFonts w:hint="eastAsia" w:ascii="仿宋_GB2312" w:hAnsi="宋体" w:cs="宋体"/>
                <w:color w:val="000000" w:themeColor="text1"/>
                <w:spacing w:val="7"/>
                <w:sz w:val="24"/>
                <w:szCs w:val="24"/>
                <w:highlight w:val="none"/>
                <w14:textFill>
                  <w14:solidFill>
                    <w14:schemeClr w14:val="tx1"/>
                  </w14:solidFill>
                </w14:textFill>
              </w:rPr>
              <w:t>2)按照派工单项目要求进行维修作业，不得</w:t>
            </w:r>
            <w:r>
              <w:rPr>
                <w:rFonts w:hint="eastAsia" w:ascii="仿宋_GB2312" w:hAnsi="宋体" w:cs="宋体"/>
                <w:color w:val="000000" w:themeColor="text1"/>
                <w:spacing w:val="5"/>
                <w:sz w:val="24"/>
                <w:szCs w:val="24"/>
                <w:highlight w:val="none"/>
                <w14:textFill>
                  <w14:solidFill>
                    <w14:schemeClr w14:val="tx1"/>
                  </w14:solidFill>
                </w14:textFill>
              </w:rPr>
              <w:t>漏项；</w:t>
            </w:r>
          </w:p>
          <w:p w14:paraId="590B4D4D">
            <w:pPr>
              <w:widowControl/>
              <w:kinsoku w:val="0"/>
              <w:autoSpaceDE w:val="0"/>
              <w:autoSpaceDN w:val="0"/>
              <w:adjustRightInd w:val="0"/>
              <w:snapToGrid w:val="0"/>
              <w:ind w:right="158"/>
              <w:textAlignment w:val="baseline"/>
              <w:rPr>
                <w:rFonts w:ascii="仿宋_GB2312" w:hAnsi="宋体" w:cs="宋体"/>
                <w:color w:val="000000" w:themeColor="text1"/>
                <w:spacing w:val="8"/>
                <w:sz w:val="24"/>
                <w:szCs w:val="24"/>
                <w:highlight w:val="none"/>
                <w14:textFill>
                  <w14:solidFill>
                    <w14:schemeClr w14:val="tx1"/>
                  </w14:solidFill>
                </w14:textFill>
              </w:rPr>
            </w:pPr>
            <w:r>
              <w:rPr>
                <w:rFonts w:hint="eastAsia" w:ascii="仿宋_GB2312" w:hAnsi="宋体" w:cs="宋体"/>
                <w:color w:val="000000" w:themeColor="text1"/>
                <w:spacing w:val="12"/>
                <w:sz w:val="24"/>
                <w:szCs w:val="24"/>
                <w:highlight w:val="none"/>
                <w14:textFill>
                  <w14:solidFill>
                    <w14:schemeClr w14:val="tx1"/>
                  </w14:solidFill>
                </w14:textFill>
              </w:rPr>
              <w:t>(</w:t>
            </w:r>
            <w:r>
              <w:rPr>
                <w:rFonts w:hint="eastAsia" w:ascii="仿宋_GB2312" w:hAnsi="宋体" w:cs="宋体"/>
                <w:color w:val="000000" w:themeColor="text1"/>
                <w:spacing w:val="7"/>
                <w:sz w:val="24"/>
                <w:szCs w:val="24"/>
                <w:highlight w:val="none"/>
                <w14:textFill>
                  <w14:solidFill>
                    <w14:schemeClr w14:val="tx1"/>
                  </w14:solidFill>
                </w14:textFill>
              </w:rPr>
              <w:t>3)对车辆进行维修时，如发现安全关键部</w:t>
            </w:r>
            <w:r>
              <w:rPr>
                <w:rFonts w:hint="eastAsia" w:ascii="仿宋_GB2312" w:hAnsi="宋体" w:cs="宋体"/>
                <w:color w:val="000000" w:themeColor="text1"/>
                <w:spacing w:val="9"/>
                <w:sz w:val="24"/>
                <w:szCs w:val="24"/>
                <w:highlight w:val="none"/>
                <w14:textFill>
                  <w14:solidFill>
                    <w14:schemeClr w14:val="tx1"/>
                  </w14:solidFill>
                </w14:textFill>
              </w:rPr>
              <w:t>位存在隐患或故障，及时向客户报备</w:t>
            </w:r>
            <w:r>
              <w:rPr>
                <w:rFonts w:hint="eastAsia" w:ascii="仿宋_GB2312" w:hAnsi="宋体" w:cs="宋体"/>
                <w:color w:val="000000" w:themeColor="text1"/>
                <w:spacing w:val="8"/>
                <w:sz w:val="24"/>
                <w:szCs w:val="24"/>
                <w:highlight w:val="none"/>
                <w14:textFill>
                  <w14:solidFill>
                    <w14:schemeClr w14:val="tx1"/>
                  </w14:solidFill>
                </w14:textFill>
              </w:rPr>
              <w:t>；</w:t>
            </w:r>
          </w:p>
          <w:p w14:paraId="231A576A">
            <w:pPr>
              <w:widowControl/>
              <w:kinsoku w:val="0"/>
              <w:autoSpaceDE w:val="0"/>
              <w:autoSpaceDN w:val="0"/>
              <w:adjustRightInd w:val="0"/>
              <w:snapToGrid w:val="0"/>
              <w:ind w:right="158"/>
              <w:textAlignment w:val="baseline"/>
              <w:rPr>
                <w:rFonts w:ascii="仿宋_GB2312" w:hAnsi="宋体" w:cs="宋体"/>
                <w:color w:val="000000" w:themeColor="text1"/>
                <w:spacing w:val="1"/>
                <w:sz w:val="24"/>
                <w:szCs w:val="24"/>
                <w:highlight w:val="none"/>
                <w14:textFill>
                  <w14:solidFill>
                    <w14:schemeClr w14:val="tx1"/>
                  </w14:solidFill>
                </w14:textFill>
              </w:rPr>
            </w:pPr>
            <w:r>
              <w:rPr>
                <w:rFonts w:hint="eastAsia" w:ascii="仿宋_GB2312" w:hAnsi="宋体" w:cs="宋体"/>
                <w:color w:val="000000" w:themeColor="text1"/>
                <w:spacing w:val="12"/>
                <w:sz w:val="24"/>
                <w:szCs w:val="24"/>
                <w:highlight w:val="none"/>
                <w14:textFill>
                  <w14:solidFill>
                    <w14:schemeClr w14:val="tx1"/>
                  </w14:solidFill>
                </w14:textFill>
              </w:rPr>
              <w:t>(</w:t>
            </w:r>
            <w:r>
              <w:rPr>
                <w:rFonts w:hint="eastAsia" w:ascii="仿宋_GB2312" w:hAnsi="宋体" w:cs="宋体"/>
                <w:color w:val="000000" w:themeColor="text1"/>
                <w:spacing w:val="7"/>
                <w:sz w:val="24"/>
                <w:szCs w:val="24"/>
                <w:highlight w:val="none"/>
                <w14:textFill>
                  <w14:solidFill>
                    <w14:schemeClr w14:val="tx1"/>
                  </w14:solidFill>
                </w14:textFill>
              </w:rPr>
              <w:t>4)节约用料、管理好作业现场，现场环境卫生清</w:t>
            </w:r>
            <w:r>
              <w:rPr>
                <w:rFonts w:hint="eastAsia" w:ascii="仿宋_GB2312" w:hAnsi="宋体" w:cs="宋体"/>
                <w:color w:val="000000" w:themeColor="text1"/>
                <w:spacing w:val="2"/>
                <w:sz w:val="24"/>
                <w:szCs w:val="24"/>
                <w:highlight w:val="none"/>
                <w14:textFill>
                  <w14:solidFill>
                    <w14:schemeClr w14:val="tx1"/>
                  </w14:solidFill>
                </w14:textFill>
              </w:rPr>
              <w:t>洁</w:t>
            </w:r>
            <w:r>
              <w:rPr>
                <w:rFonts w:hint="eastAsia" w:ascii="仿宋_GB2312" w:hAnsi="宋体" w:cs="宋体"/>
                <w:color w:val="000000" w:themeColor="text1"/>
                <w:spacing w:val="1"/>
                <w:sz w:val="24"/>
                <w:szCs w:val="24"/>
                <w:highlight w:val="none"/>
                <w14:textFill>
                  <w14:solidFill>
                    <w14:schemeClr w14:val="tx1"/>
                  </w14:solidFill>
                </w14:textFill>
              </w:rPr>
              <w:t>；</w:t>
            </w:r>
          </w:p>
          <w:p w14:paraId="3DE36FE7">
            <w:pPr>
              <w:widowControl/>
              <w:kinsoku w:val="0"/>
              <w:autoSpaceDE w:val="0"/>
              <w:autoSpaceDN w:val="0"/>
              <w:adjustRightInd w:val="0"/>
              <w:snapToGrid w:val="0"/>
              <w:ind w:right="158"/>
              <w:textAlignment w:val="baseline"/>
              <w:rPr>
                <w:rFonts w:ascii="仿宋_GB2312" w:hAnsi="宋体" w:cs="宋体"/>
                <w:color w:val="000000" w:themeColor="text1"/>
                <w:sz w:val="24"/>
                <w:szCs w:val="24"/>
                <w:highlight w:val="none"/>
                <w14:textFill>
                  <w14:solidFill>
                    <w14:schemeClr w14:val="tx1"/>
                  </w14:solidFill>
                </w14:textFill>
              </w:rPr>
            </w:pPr>
            <w:r>
              <w:rPr>
                <w:rFonts w:hint="eastAsia" w:ascii="仿宋_GB2312" w:hAnsi="宋体" w:cs="宋体"/>
                <w:color w:val="000000" w:themeColor="text1"/>
                <w:spacing w:val="3"/>
                <w:sz w:val="24"/>
                <w:szCs w:val="24"/>
                <w:highlight w:val="none"/>
                <w14:textFill>
                  <w14:solidFill>
                    <w14:schemeClr w14:val="tx1"/>
                  </w14:solidFill>
                </w14:textFill>
              </w:rPr>
              <w:t>(5)按照质量要求维修车辆，以确保客户</w:t>
            </w:r>
            <w:r>
              <w:rPr>
                <w:rFonts w:hint="eastAsia" w:ascii="仿宋_GB2312" w:hAnsi="宋体" w:cs="宋体"/>
                <w:color w:val="000000" w:themeColor="text1"/>
                <w:sz w:val="24"/>
                <w:szCs w:val="24"/>
                <w:highlight w:val="none"/>
                <w14:textFill>
                  <w14:solidFill>
                    <w14:schemeClr w14:val="tx1"/>
                  </w14:solidFill>
                </w14:textFill>
              </w:rPr>
              <w:t>满</w:t>
            </w:r>
            <w:r>
              <w:rPr>
                <w:rFonts w:hint="eastAsia" w:ascii="仿宋_GB2312" w:hAnsi="宋体" w:cs="宋体"/>
                <w:color w:val="000000" w:themeColor="text1"/>
                <w:spacing w:val="-1"/>
                <w:sz w:val="24"/>
                <w:szCs w:val="24"/>
                <w:highlight w:val="none"/>
                <w14:textFill>
                  <w14:solidFill>
                    <w14:schemeClr w14:val="tx1"/>
                  </w14:solidFill>
                </w14:textFill>
              </w:rPr>
              <w:t>意；</w:t>
            </w:r>
          </w:p>
          <w:p w14:paraId="21D06C2F">
            <w:pPr>
              <w:pStyle w:val="7"/>
              <w:adjustRightInd w:val="0"/>
              <w:snapToGrid w:val="0"/>
              <w:spacing w:line="240" w:lineRule="auto"/>
              <w:ind w:firstLine="0" w:firstLineChars="0"/>
              <w:rPr>
                <w:rFonts w:ascii="仿宋_GB2312" w:hAnsi="宋体" w:eastAsia="仿宋_GB2312" w:cs="宋体"/>
                <w:kern w:val="2"/>
                <w:sz w:val="24"/>
                <w:szCs w:val="24"/>
                <w:highlight w:val="none"/>
                <w:lang w:val="en-US" w:eastAsia="zh-CN" w:bidi="ar-SA"/>
              </w:rPr>
            </w:pPr>
            <w:r>
              <w:rPr>
                <w:rFonts w:hint="eastAsia" w:ascii="仿宋_GB2312" w:hAnsi="宋体" w:cs="宋体"/>
                <w:color w:val="000000" w:themeColor="text1"/>
                <w:spacing w:val="12"/>
                <w:sz w:val="24"/>
                <w:szCs w:val="24"/>
                <w:highlight w:val="none"/>
                <w14:textFill>
                  <w14:solidFill>
                    <w14:schemeClr w14:val="tx1"/>
                  </w14:solidFill>
                </w14:textFill>
              </w:rPr>
              <w:t>(</w:t>
            </w:r>
            <w:r>
              <w:rPr>
                <w:rFonts w:hint="eastAsia" w:ascii="仿宋_GB2312" w:hAnsi="宋体" w:cs="宋体"/>
                <w:color w:val="000000" w:themeColor="text1"/>
                <w:spacing w:val="7"/>
                <w:sz w:val="24"/>
                <w:szCs w:val="24"/>
                <w:highlight w:val="none"/>
                <w14:textFill>
                  <w14:solidFill>
                    <w14:schemeClr w14:val="tx1"/>
                  </w14:solidFill>
                </w14:textFill>
              </w:rPr>
              <w:t>6</w:t>
            </w:r>
            <w:r>
              <w:rPr>
                <w:rFonts w:hint="eastAsia" w:ascii="仿宋_GB2312" w:hAnsi="宋体" w:cs="宋体"/>
                <w:color w:val="000000" w:themeColor="text1"/>
                <w:spacing w:val="6"/>
                <w:sz w:val="24"/>
                <w:szCs w:val="24"/>
                <w:highlight w:val="none"/>
                <w14:textFill>
                  <w14:solidFill>
                    <w14:schemeClr w14:val="tx1"/>
                  </w14:solidFill>
                </w14:textFill>
              </w:rPr>
              <w:t>)能吃苦耐劳,具有良好的职业道德。</w:t>
            </w:r>
          </w:p>
        </w:tc>
        <w:tc>
          <w:tcPr>
            <w:tcW w:w="942" w:type="pct"/>
            <w:tcBorders>
              <w:top w:val="outset" w:color="000000" w:sz="6" w:space="0"/>
              <w:left w:val="outset" w:color="000000" w:sz="6" w:space="0"/>
              <w:bottom w:val="outset" w:color="000000" w:sz="6" w:space="0"/>
              <w:right w:val="outset" w:color="000000" w:sz="6" w:space="0"/>
            </w:tcBorders>
            <w:shd w:val="clear" w:color="auto" w:fill="auto"/>
            <w:tcMar>
              <w:left w:w="113" w:type="dxa"/>
              <w:right w:w="113" w:type="dxa"/>
            </w:tcMar>
            <w:vAlign w:val="center"/>
          </w:tcPr>
          <w:p w14:paraId="68B6EB4E">
            <w:pPr>
              <w:snapToGrid w:val="0"/>
              <w:jc w:val="left"/>
              <w:rPr>
                <w:rFonts w:ascii="仿宋_GB2312" w:hAnsi="仿宋_GB2312" w:cs="仿宋_GB2312"/>
                <w:color w:val="000000" w:themeColor="text1"/>
                <w:kern w:val="0"/>
                <w:sz w:val="24"/>
                <w:szCs w:val="24"/>
                <w:highlight w:val="none"/>
                <w14:textFill>
                  <w14:solidFill>
                    <w14:schemeClr w14:val="tx1"/>
                  </w14:solidFill>
                </w14:textFill>
              </w:rPr>
            </w:pPr>
            <w:r>
              <w:rPr>
                <w:rFonts w:hint="eastAsia" w:ascii="仿宋_GB2312" w:hAnsi="仿宋_GB2312" w:cs="仿宋_GB2312"/>
                <w:color w:val="000000" w:themeColor="text1"/>
                <w:kern w:val="0"/>
                <w:sz w:val="24"/>
                <w:szCs w:val="24"/>
                <w:highlight w:val="none"/>
                <w14:textFill>
                  <w14:solidFill>
                    <w14:schemeClr w14:val="tx1"/>
                  </w14:solidFill>
                </w14:textFill>
              </w:rPr>
              <w:t>新能源汽车整车控制技术</w:t>
            </w:r>
          </w:p>
          <w:p w14:paraId="12C318AF">
            <w:pPr>
              <w:snapToGrid w:val="0"/>
              <w:jc w:val="left"/>
              <w:rPr>
                <w:rFonts w:ascii="仿宋_GB2312" w:hAnsi="仿宋_GB2312" w:cs="仿宋_GB2312"/>
                <w:color w:val="000000" w:themeColor="text1"/>
                <w:kern w:val="0"/>
                <w:sz w:val="24"/>
                <w:szCs w:val="24"/>
                <w:highlight w:val="none"/>
                <w14:textFill>
                  <w14:solidFill>
                    <w14:schemeClr w14:val="tx1"/>
                  </w14:solidFill>
                </w14:textFill>
              </w:rPr>
            </w:pPr>
            <w:r>
              <w:rPr>
                <w:rFonts w:hint="eastAsia" w:ascii="仿宋_GB2312" w:hAnsi="仿宋_GB2312" w:cs="仿宋_GB2312"/>
                <w:color w:val="000000" w:themeColor="text1"/>
                <w:kern w:val="0"/>
                <w:sz w:val="24"/>
                <w:szCs w:val="24"/>
                <w:highlight w:val="none"/>
                <w14:textFill>
                  <w14:solidFill>
                    <w14:schemeClr w14:val="tx1"/>
                  </w14:solidFill>
                </w14:textFill>
              </w:rPr>
              <w:t>新能源汽车混合动力系统检修</w:t>
            </w:r>
          </w:p>
          <w:p w14:paraId="4BD1C44F">
            <w:pPr>
              <w:pStyle w:val="7"/>
              <w:adjustRightInd w:val="0"/>
              <w:snapToGrid w:val="0"/>
              <w:spacing w:line="240" w:lineRule="auto"/>
              <w:ind w:firstLine="0" w:firstLineChars="0"/>
              <w:rPr>
                <w:rFonts w:ascii="仿宋_GB2312" w:hAnsi="宋体" w:eastAsia="仿宋_GB2312" w:cs="Times New Roman"/>
                <w:kern w:val="2"/>
                <w:sz w:val="24"/>
                <w:szCs w:val="24"/>
                <w:highlight w:val="none"/>
                <w:lang w:val="en-US" w:eastAsia="zh-CN" w:bidi="ar-SA"/>
              </w:rPr>
            </w:pPr>
            <w:r>
              <w:rPr>
                <w:rFonts w:hint="eastAsia" w:ascii="仿宋_GB2312" w:hAnsi="仿宋_GB2312" w:cs="仿宋_GB2312"/>
                <w:color w:val="000000" w:themeColor="text1"/>
                <w:kern w:val="0"/>
                <w:sz w:val="24"/>
                <w:szCs w:val="24"/>
                <w:highlight w:val="none"/>
                <w14:textFill>
                  <w14:solidFill>
                    <w14:schemeClr w14:val="tx1"/>
                  </w14:solidFill>
                </w14:textFill>
              </w:rPr>
              <w:t>新能源汽车检测与故障诊断技术</w:t>
            </w:r>
          </w:p>
        </w:tc>
      </w:tr>
      <w:tr w14:paraId="0B2D96AA">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425" w:type="pct"/>
            <w:tcBorders>
              <w:top w:val="outset" w:color="000000" w:sz="6" w:space="0"/>
              <w:left w:val="outset" w:color="000000" w:sz="6" w:space="0"/>
              <w:bottom w:val="single" w:color="auto" w:sz="4" w:space="0"/>
              <w:right w:val="outset" w:color="000000" w:sz="6" w:space="0"/>
            </w:tcBorders>
            <w:vAlign w:val="center"/>
          </w:tcPr>
          <w:p w14:paraId="3CF6BE73">
            <w:pPr>
              <w:widowControl/>
              <w:spacing w:before="100" w:beforeAutospacing="1" w:after="100" w:afterAutospacing="1"/>
              <w:jc w:val="center"/>
              <w:rPr>
                <w:rFonts w:ascii="仿宋_GB2312" w:hAnsi="仿宋_GB2312" w:cs="仿宋_GB2312"/>
                <w:bCs/>
                <w:kern w:val="0"/>
                <w:sz w:val="21"/>
                <w:szCs w:val="21"/>
                <w:highlight w:val="none"/>
              </w:rPr>
            </w:pPr>
            <w:r>
              <w:rPr>
                <w:rFonts w:hint="eastAsia" w:ascii="仿宋_GB2312" w:hAnsi="仿宋_GB2312" w:cs="仿宋_GB2312"/>
                <w:bCs/>
                <w:kern w:val="0"/>
                <w:sz w:val="21"/>
                <w:szCs w:val="21"/>
                <w:highlight w:val="none"/>
              </w:rPr>
              <w:t>3</w:t>
            </w:r>
          </w:p>
        </w:tc>
        <w:tc>
          <w:tcPr>
            <w:tcW w:w="695" w:type="pct"/>
            <w:tcBorders>
              <w:top w:val="outset" w:color="000000" w:sz="6" w:space="0"/>
              <w:left w:val="outset" w:color="000000" w:sz="6" w:space="0"/>
              <w:bottom w:val="single" w:color="auto" w:sz="4" w:space="0"/>
              <w:right w:val="outset" w:color="000000" w:sz="6" w:space="0"/>
            </w:tcBorders>
            <w:shd w:val="clear" w:color="auto" w:fill="auto"/>
            <w:tcMar>
              <w:left w:w="113" w:type="dxa"/>
              <w:right w:w="113" w:type="dxa"/>
            </w:tcMar>
            <w:vAlign w:val="center"/>
          </w:tcPr>
          <w:p w14:paraId="60F519AB">
            <w:pPr>
              <w:jc w:val="left"/>
              <w:rPr>
                <w:rFonts w:ascii="仿宋_GB2312" w:hAnsi="仿宋_GB2312" w:eastAsia="仿宋_GB2312" w:cs="仿宋_GB2312"/>
                <w:bCs/>
                <w:kern w:val="0"/>
                <w:sz w:val="24"/>
                <w:szCs w:val="24"/>
                <w:highlight w:val="none"/>
                <w:lang w:val="en-US" w:eastAsia="zh-CN" w:bidi="ar-SA"/>
              </w:rPr>
            </w:pPr>
            <w:r>
              <w:rPr>
                <w:rFonts w:hint="eastAsia" w:ascii="仿宋_GB2312" w:hAnsi="仿宋_GB2312" w:cs="仿宋_GB2312"/>
                <w:bCs/>
                <w:kern w:val="0"/>
                <w:sz w:val="24"/>
                <w:szCs w:val="24"/>
                <w:highlight w:val="none"/>
              </w:rPr>
              <w:t>新能源汽车销售与服务岗位</w:t>
            </w:r>
          </w:p>
        </w:tc>
        <w:tc>
          <w:tcPr>
            <w:tcW w:w="557" w:type="pct"/>
            <w:tcBorders>
              <w:top w:val="outset" w:color="000000" w:sz="6" w:space="0"/>
              <w:left w:val="outset" w:color="000000" w:sz="6" w:space="0"/>
              <w:bottom w:val="single" w:color="auto" w:sz="4" w:space="0"/>
              <w:right w:val="outset" w:color="000000" w:sz="6" w:space="0"/>
            </w:tcBorders>
            <w:shd w:val="clear" w:color="auto" w:fill="auto"/>
            <w:tcMar>
              <w:left w:w="113" w:type="dxa"/>
              <w:right w:w="113" w:type="dxa"/>
            </w:tcMar>
            <w:vAlign w:val="center"/>
          </w:tcPr>
          <w:p w14:paraId="1AFAD112">
            <w:pPr>
              <w:pStyle w:val="7"/>
              <w:adjustRightInd w:val="0"/>
              <w:snapToGrid w:val="0"/>
              <w:spacing w:line="240" w:lineRule="auto"/>
              <w:ind w:firstLine="0" w:firstLineChars="0"/>
              <w:rPr>
                <w:rFonts w:hint="eastAsia" w:ascii="仿宋_GB2312" w:hAnsi="宋体" w:cs="宋体"/>
                <w:sz w:val="24"/>
                <w:szCs w:val="24"/>
                <w:highlight w:val="none"/>
              </w:rPr>
            </w:pPr>
            <w:r>
              <w:rPr>
                <w:rFonts w:hint="eastAsia" w:ascii="仿宋_GB2312" w:hAnsi="宋体" w:cs="宋体"/>
                <w:sz w:val="24"/>
                <w:szCs w:val="24"/>
                <w:highlight w:val="none"/>
              </w:rPr>
              <w:t>销售专员、</w:t>
            </w:r>
          </w:p>
          <w:p w14:paraId="2C3C60B1">
            <w:pPr>
              <w:pStyle w:val="7"/>
              <w:adjustRightInd w:val="0"/>
              <w:snapToGrid w:val="0"/>
              <w:spacing w:line="240" w:lineRule="auto"/>
              <w:ind w:firstLine="0" w:firstLineChars="0"/>
              <w:rPr>
                <w:rFonts w:ascii="仿宋_GB2312" w:hAnsi="宋体" w:eastAsia="仿宋_GB2312" w:cs="宋体"/>
                <w:kern w:val="2"/>
                <w:sz w:val="24"/>
                <w:szCs w:val="24"/>
                <w:highlight w:val="none"/>
                <w:lang w:val="en-US" w:eastAsia="zh-CN" w:bidi="ar-SA"/>
              </w:rPr>
            </w:pPr>
            <w:r>
              <w:rPr>
                <w:rFonts w:hint="eastAsia" w:ascii="仿宋_GB2312" w:hAnsi="宋体" w:cs="宋体"/>
                <w:sz w:val="24"/>
                <w:szCs w:val="24"/>
                <w:highlight w:val="none"/>
              </w:rPr>
              <w:t>售后服务专员</w:t>
            </w:r>
          </w:p>
        </w:tc>
        <w:tc>
          <w:tcPr>
            <w:tcW w:w="2379" w:type="pct"/>
            <w:tcBorders>
              <w:top w:val="outset" w:color="000000" w:sz="6" w:space="0"/>
              <w:left w:val="outset" w:color="000000" w:sz="6" w:space="0"/>
              <w:bottom w:val="single" w:color="auto" w:sz="4" w:space="0"/>
              <w:right w:val="outset" w:color="000000" w:sz="6" w:space="0"/>
            </w:tcBorders>
            <w:shd w:val="clear" w:color="auto" w:fill="auto"/>
            <w:tcMar>
              <w:left w:w="113" w:type="dxa"/>
              <w:right w:w="113" w:type="dxa"/>
            </w:tcMar>
            <w:vAlign w:val="center"/>
          </w:tcPr>
          <w:p w14:paraId="77CD8F7E">
            <w:pPr>
              <w:pStyle w:val="7"/>
              <w:snapToGrid w:val="0"/>
              <w:spacing w:line="240" w:lineRule="auto"/>
              <w:ind w:firstLine="0" w:firstLineChars="0"/>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rPr>
              <w:t>熟悉新能源汽车产品知识，具备良好销售技巧与客户沟通能力</w:t>
            </w:r>
            <w:r>
              <w:rPr>
                <w:rFonts w:hint="eastAsia" w:ascii="方正仿宋_GB2312" w:hAnsi="方正仿宋_GB2312" w:eastAsia="方正仿宋_GB2312" w:cs="方正仿宋_GB2312"/>
                <w:sz w:val="24"/>
                <w:szCs w:val="24"/>
                <w:highlight w:val="none"/>
                <w:lang w:eastAsia="zh-CN"/>
              </w:rPr>
              <w:t>；</w:t>
            </w:r>
          </w:p>
          <w:p w14:paraId="23FE4008">
            <w:pPr>
              <w:pStyle w:val="7"/>
              <w:snapToGrid w:val="0"/>
              <w:spacing w:line="240" w:lineRule="auto"/>
              <w:ind w:firstLine="0" w:firstLineChars="0"/>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rPr>
              <w:t>能向客户准确介绍车辆性能、优势，完成销售任务</w:t>
            </w:r>
            <w:r>
              <w:rPr>
                <w:rFonts w:hint="eastAsia" w:ascii="方正仿宋_GB2312" w:hAnsi="方正仿宋_GB2312" w:eastAsia="方正仿宋_GB2312" w:cs="方正仿宋_GB2312"/>
                <w:sz w:val="24"/>
                <w:szCs w:val="24"/>
                <w:highlight w:val="none"/>
                <w:lang w:eastAsia="zh-CN"/>
              </w:rPr>
              <w:t>；</w:t>
            </w:r>
          </w:p>
          <w:p w14:paraId="7FD1303E">
            <w:pPr>
              <w:pStyle w:val="7"/>
              <w:snapToGrid w:val="0"/>
              <w:spacing w:line="240" w:lineRule="auto"/>
              <w:ind w:firstLine="0" w:firstLineChars="0"/>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rPr>
              <w:t>为客户提供新能源汽车使用指导、维修保养建议</w:t>
            </w:r>
            <w:r>
              <w:rPr>
                <w:rFonts w:hint="eastAsia" w:ascii="方正仿宋_GB2312" w:hAnsi="方正仿宋_GB2312" w:eastAsia="方正仿宋_GB2312" w:cs="方正仿宋_GB2312"/>
                <w:sz w:val="24"/>
                <w:szCs w:val="24"/>
                <w:highlight w:val="none"/>
                <w:lang w:eastAsia="zh-CN"/>
              </w:rPr>
              <w:t>；</w:t>
            </w:r>
          </w:p>
          <w:p w14:paraId="05F0E6CB">
            <w:pPr>
              <w:pStyle w:val="7"/>
              <w:snapToGrid w:val="0"/>
              <w:spacing w:line="240" w:lineRule="auto"/>
              <w:ind w:firstLine="0" w:firstLineChars="0"/>
              <w:rPr>
                <w:rFonts w:hint="eastAsia" w:ascii="仿宋_GB2312" w:hAnsi="宋体" w:eastAsia="方正仿宋_GB2312" w:cs="宋体"/>
                <w:sz w:val="24"/>
                <w:szCs w:val="24"/>
                <w:highlight w:val="none"/>
                <w:lang w:eastAsia="zh-CN"/>
              </w:rPr>
            </w:pPr>
            <w:r>
              <w:rPr>
                <w:rFonts w:hint="eastAsia" w:ascii="方正仿宋_GB2312" w:hAnsi="方正仿宋_GB2312" w:eastAsia="方正仿宋_GB2312" w:cs="方正仿宋_GB2312"/>
                <w:sz w:val="24"/>
                <w:szCs w:val="24"/>
                <w:highlight w:val="none"/>
              </w:rPr>
              <w:t>处理客户投诉与反馈，具备客户关系维护能力</w:t>
            </w:r>
            <w:r>
              <w:rPr>
                <w:rFonts w:hint="eastAsia" w:ascii="方正仿宋_GB2312" w:hAnsi="方正仿宋_GB2312" w:eastAsia="方正仿宋_GB2312" w:cs="方正仿宋_GB2312"/>
                <w:sz w:val="24"/>
                <w:szCs w:val="24"/>
                <w:highlight w:val="none"/>
                <w:lang w:eastAsia="zh-CN"/>
              </w:rPr>
              <w:t>；</w:t>
            </w:r>
          </w:p>
          <w:p w14:paraId="79C64BBE">
            <w:pPr>
              <w:pStyle w:val="7"/>
              <w:snapToGrid w:val="0"/>
              <w:spacing w:line="240" w:lineRule="auto"/>
              <w:ind w:firstLine="0" w:firstLineChars="0"/>
              <w:rPr>
                <w:rFonts w:ascii="仿宋_GB2312" w:hAnsi="宋体" w:eastAsia="仿宋_GB2312" w:cs="宋体"/>
                <w:kern w:val="2"/>
                <w:sz w:val="24"/>
                <w:szCs w:val="24"/>
                <w:highlight w:val="none"/>
                <w:lang w:val="en-US" w:eastAsia="zh-CN" w:bidi="ar-SA"/>
              </w:rPr>
            </w:pPr>
            <w:r>
              <w:rPr>
                <w:rFonts w:hint="eastAsia" w:ascii="仿宋_GB2312" w:hAnsi="宋体" w:cs="宋体"/>
                <w:sz w:val="24"/>
                <w:szCs w:val="24"/>
                <w:highlight w:val="none"/>
              </w:rPr>
              <w:t>解决客户在使用公司产品或服务遇到的问题。</w:t>
            </w:r>
          </w:p>
        </w:tc>
        <w:tc>
          <w:tcPr>
            <w:tcW w:w="942" w:type="pct"/>
            <w:tcBorders>
              <w:top w:val="outset" w:color="000000" w:sz="6" w:space="0"/>
              <w:left w:val="outset" w:color="000000" w:sz="6" w:space="0"/>
              <w:bottom w:val="single" w:color="auto" w:sz="4" w:space="0"/>
              <w:right w:val="outset" w:color="000000" w:sz="6" w:space="0"/>
            </w:tcBorders>
            <w:shd w:val="clear" w:color="auto" w:fill="auto"/>
            <w:tcMar>
              <w:left w:w="113" w:type="dxa"/>
              <w:right w:w="113" w:type="dxa"/>
            </w:tcMar>
            <w:vAlign w:val="center"/>
          </w:tcPr>
          <w:p w14:paraId="63A4F11C">
            <w:pPr>
              <w:pStyle w:val="7"/>
              <w:adjustRightInd w:val="0"/>
              <w:snapToGrid w:val="0"/>
              <w:spacing w:line="240" w:lineRule="auto"/>
              <w:ind w:firstLine="0" w:firstLineChars="0"/>
              <w:rPr>
                <w:rFonts w:hint="eastAsia" w:ascii="仿宋_GB2312" w:hAnsi="宋体"/>
                <w:sz w:val="24"/>
                <w:szCs w:val="24"/>
                <w:highlight w:val="none"/>
                <w:lang w:val="en-US" w:eastAsia="zh-CN"/>
              </w:rPr>
            </w:pPr>
            <w:r>
              <w:rPr>
                <w:rFonts w:hint="eastAsia" w:ascii="仿宋_GB2312" w:hAnsi="宋体"/>
                <w:sz w:val="24"/>
                <w:szCs w:val="24"/>
                <w:highlight w:val="none"/>
                <w:lang w:val="en-US" w:eastAsia="zh-CN"/>
              </w:rPr>
              <w:t>汽车顾问式销售</w:t>
            </w:r>
          </w:p>
          <w:p w14:paraId="59B24C69">
            <w:pPr>
              <w:pStyle w:val="7"/>
              <w:adjustRightInd w:val="0"/>
              <w:snapToGrid w:val="0"/>
              <w:spacing w:line="240" w:lineRule="auto"/>
              <w:ind w:firstLine="0" w:firstLineChars="0"/>
              <w:rPr>
                <w:rFonts w:hint="eastAsia" w:ascii="仿宋_GB2312" w:hAnsi="宋体"/>
                <w:sz w:val="24"/>
                <w:szCs w:val="24"/>
                <w:highlight w:val="none"/>
                <w:lang w:val="en-US" w:eastAsia="zh-CN"/>
              </w:rPr>
            </w:pPr>
            <w:r>
              <w:rPr>
                <w:rFonts w:hint="eastAsia" w:ascii="仿宋_GB2312" w:hAnsi="宋体"/>
                <w:sz w:val="24"/>
                <w:szCs w:val="24"/>
                <w:highlight w:val="none"/>
                <w:lang w:val="en-US" w:eastAsia="zh-CN"/>
              </w:rPr>
              <w:t>汽车服务顾问实战</w:t>
            </w:r>
          </w:p>
          <w:p w14:paraId="2080AC86">
            <w:pPr>
              <w:pStyle w:val="7"/>
              <w:adjustRightInd w:val="0"/>
              <w:snapToGrid w:val="0"/>
              <w:spacing w:line="240" w:lineRule="auto"/>
              <w:ind w:firstLine="0" w:firstLineChars="0"/>
              <w:rPr>
                <w:rFonts w:ascii="仿宋_GB2312" w:hAnsi="宋体" w:eastAsia="仿宋_GB2312" w:cs="Times New Roman"/>
                <w:kern w:val="2"/>
                <w:sz w:val="24"/>
                <w:szCs w:val="24"/>
                <w:highlight w:val="none"/>
                <w:lang w:val="en-US" w:eastAsia="zh-CN" w:bidi="ar-SA"/>
              </w:rPr>
            </w:pPr>
          </w:p>
        </w:tc>
      </w:tr>
      <w:tr w14:paraId="4FA43B39">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14:paraId="1085DB91">
            <w:pPr>
              <w:widowControl/>
              <w:spacing w:before="100" w:beforeAutospacing="1" w:after="100" w:afterAutospacing="1"/>
              <w:jc w:val="center"/>
              <w:rPr>
                <w:rFonts w:hint="eastAsia" w:ascii="仿宋_GB2312" w:hAnsi="仿宋_GB2312" w:cs="仿宋_GB2312"/>
                <w:bCs/>
                <w:kern w:val="0"/>
                <w:sz w:val="21"/>
                <w:szCs w:val="21"/>
                <w:highlight w:val="none"/>
                <w:lang w:val="en-US" w:eastAsia="zh-CN"/>
              </w:rPr>
            </w:pPr>
            <w:bookmarkStart w:id="25" w:name="_Toc13429"/>
            <w:bookmarkStart w:id="26" w:name="_Toc168736735"/>
            <w:bookmarkStart w:id="27" w:name="_Toc201407672"/>
          </w:p>
          <w:p w14:paraId="47EE1924">
            <w:pPr>
              <w:widowControl/>
              <w:spacing w:before="100" w:beforeAutospacing="1" w:after="100" w:afterAutospacing="1"/>
              <w:jc w:val="center"/>
              <w:rPr>
                <w:rFonts w:hint="eastAsia" w:ascii="仿宋_GB2312" w:hAnsi="仿宋_GB2312" w:eastAsia="仿宋_GB2312" w:cs="仿宋_GB2312"/>
                <w:bCs/>
                <w:kern w:val="0"/>
                <w:sz w:val="21"/>
                <w:szCs w:val="21"/>
                <w:highlight w:val="none"/>
                <w:lang w:val="en-US" w:eastAsia="zh-CN"/>
              </w:rPr>
            </w:pPr>
            <w:r>
              <w:rPr>
                <w:rFonts w:hint="eastAsia" w:ascii="仿宋_GB2312" w:hAnsi="仿宋_GB2312" w:cs="仿宋_GB2312"/>
                <w:bCs/>
                <w:kern w:val="0"/>
                <w:sz w:val="21"/>
                <w:szCs w:val="21"/>
                <w:highlight w:val="none"/>
                <w:lang w:val="en-US" w:eastAsia="zh-CN"/>
              </w:rPr>
              <w:t>4</w:t>
            </w:r>
          </w:p>
          <w:p w14:paraId="5C9D7CB4">
            <w:pPr>
              <w:widowControl/>
              <w:spacing w:before="100" w:beforeAutospacing="1" w:after="100" w:afterAutospacing="1"/>
              <w:jc w:val="center"/>
              <w:rPr>
                <w:rFonts w:hint="eastAsia" w:ascii="仿宋_GB2312" w:hAnsi="仿宋_GB2312" w:cs="仿宋_GB2312"/>
                <w:bCs/>
                <w:kern w:val="0"/>
                <w:sz w:val="21"/>
                <w:szCs w:val="21"/>
                <w:highlight w:val="none"/>
                <w:lang w:val="en-US" w:eastAsia="zh-CN"/>
              </w:rPr>
            </w:pPr>
          </w:p>
          <w:p w14:paraId="2A38A6DA">
            <w:pPr>
              <w:widowControl/>
              <w:spacing w:before="100" w:beforeAutospacing="1" w:after="100" w:afterAutospacing="1"/>
              <w:jc w:val="center"/>
              <w:rPr>
                <w:rFonts w:hint="eastAsia" w:ascii="仿宋_GB2312" w:hAnsi="仿宋_GB2312" w:eastAsia="仿宋_GB2312" w:cs="仿宋_GB2312"/>
                <w:bCs/>
                <w:kern w:val="0"/>
                <w:sz w:val="21"/>
                <w:szCs w:val="21"/>
                <w:highlight w:val="none"/>
                <w:lang w:val="en-US" w:eastAsia="zh-CN"/>
              </w:rPr>
            </w:pPr>
          </w:p>
        </w:tc>
        <w:tc>
          <w:tcPr>
            <w:tcW w:w="695" w:type="pct"/>
            <w:tcBorders>
              <w:top w:val="single" w:color="auto" w:sz="4" w:space="0"/>
              <w:left w:val="single" w:color="auto" w:sz="4" w:space="0"/>
              <w:bottom w:val="single" w:color="auto" w:sz="4" w:space="0"/>
              <w:right w:val="single" w:color="auto" w:sz="4" w:space="0"/>
            </w:tcBorders>
            <w:shd w:val="clear" w:color="auto" w:fill="auto"/>
            <w:vAlign w:val="center"/>
          </w:tcPr>
          <w:p w14:paraId="3626B5EC">
            <w:pPr>
              <w:jc w:val="center"/>
              <w:rPr>
                <w:rFonts w:ascii="仿宋_GB2312" w:hAnsi="仿宋_GB2312" w:eastAsia="仿宋_GB2312" w:cs="仿宋_GB2312"/>
                <w:bCs/>
                <w:kern w:val="0"/>
                <w:sz w:val="24"/>
                <w:szCs w:val="24"/>
                <w:highlight w:val="none"/>
                <w:lang w:val="en-US" w:eastAsia="zh-CN" w:bidi="ar-SA"/>
              </w:rPr>
            </w:pPr>
            <w:r>
              <w:rPr>
                <w:rFonts w:hint="eastAsia" w:ascii="仿宋_GB2312" w:hAnsi="仿宋_GB2312" w:cs="仿宋_GB2312"/>
                <w:bCs/>
                <w:kern w:val="0"/>
                <w:sz w:val="24"/>
                <w:szCs w:val="24"/>
                <w:highlight w:val="none"/>
              </w:rPr>
              <w:t>充电设施相关类职业岗位</w:t>
            </w:r>
          </w:p>
        </w:tc>
        <w:tc>
          <w:tcPr>
            <w:tcW w:w="557" w:type="pct"/>
            <w:tcBorders>
              <w:top w:val="single" w:color="auto" w:sz="4" w:space="0"/>
              <w:left w:val="single" w:color="auto" w:sz="4" w:space="0"/>
              <w:bottom w:val="single" w:color="auto" w:sz="4" w:space="0"/>
              <w:right w:val="single" w:color="auto" w:sz="4" w:space="0"/>
            </w:tcBorders>
            <w:shd w:val="clear" w:color="auto" w:fill="auto"/>
            <w:vAlign w:val="center"/>
          </w:tcPr>
          <w:p w14:paraId="21B9B315">
            <w:pPr>
              <w:jc w:val="center"/>
              <w:rPr>
                <w:rFonts w:ascii="仿宋_GB2312" w:hAnsi="宋体" w:eastAsia="仿宋_GB2312" w:cs="宋体"/>
                <w:kern w:val="2"/>
                <w:sz w:val="24"/>
                <w:szCs w:val="24"/>
                <w:highlight w:val="none"/>
                <w:lang w:val="en-US" w:eastAsia="zh-CN" w:bidi="ar-SA"/>
              </w:rPr>
            </w:pPr>
            <w:r>
              <w:rPr>
                <w:rFonts w:hint="eastAsia" w:ascii="仿宋_GB2312" w:hAnsi="仿宋_GB2312" w:cs="仿宋_GB2312"/>
                <w:bCs/>
                <w:kern w:val="0"/>
                <w:sz w:val="24"/>
                <w:szCs w:val="24"/>
                <w:highlight w:val="none"/>
              </w:rPr>
              <w:t>充电桩安装工、充电桩维护工等</w:t>
            </w:r>
          </w:p>
        </w:tc>
        <w:tc>
          <w:tcPr>
            <w:tcW w:w="2379" w:type="pct"/>
            <w:tcBorders>
              <w:top w:val="single" w:color="auto" w:sz="4" w:space="0"/>
              <w:left w:val="single" w:color="auto" w:sz="4" w:space="0"/>
              <w:bottom w:val="single" w:color="auto" w:sz="4" w:space="0"/>
              <w:right w:val="single" w:color="auto" w:sz="4" w:space="0"/>
            </w:tcBorders>
            <w:shd w:val="clear" w:color="auto" w:fill="auto"/>
            <w:vAlign w:val="center"/>
          </w:tcPr>
          <w:p w14:paraId="58F1722D">
            <w:pPr>
              <w:pStyle w:val="7"/>
              <w:adjustRightInd w:val="0"/>
              <w:snapToGrid w:val="0"/>
              <w:spacing w:line="240" w:lineRule="auto"/>
              <w:ind w:firstLine="0" w:firstLineChars="0"/>
              <w:jc w:val="center"/>
              <w:rPr>
                <w:rFonts w:hint="eastAsia" w:ascii="方正仿宋_GB2312" w:hAnsi="方正仿宋_GB2312" w:eastAsia="方正仿宋_GB2312" w:cs="方正仿宋_GB2312"/>
                <w:sz w:val="24"/>
                <w:szCs w:val="24"/>
                <w:highlight w:val="none"/>
                <w:lang w:eastAsia="zh-CN"/>
              </w:rPr>
            </w:pPr>
            <w:r>
              <w:rPr>
                <w:rFonts w:hint="eastAsia" w:ascii="方正仿宋_GB2312" w:hAnsi="方正仿宋_GB2312" w:eastAsia="方正仿宋_GB2312" w:cs="方正仿宋_GB2312"/>
                <w:sz w:val="24"/>
                <w:szCs w:val="24"/>
                <w:highlight w:val="none"/>
              </w:rPr>
              <w:t>掌握充电桩安装流程与规范，能进行现场勘查、设备安装与调试，具备电气安装技能</w:t>
            </w:r>
            <w:r>
              <w:rPr>
                <w:rFonts w:hint="eastAsia" w:ascii="方正仿宋_GB2312" w:hAnsi="方正仿宋_GB2312" w:eastAsia="方正仿宋_GB2312" w:cs="方正仿宋_GB2312"/>
                <w:sz w:val="24"/>
                <w:szCs w:val="24"/>
                <w:highlight w:val="none"/>
                <w:lang w:eastAsia="zh-CN"/>
              </w:rPr>
              <w:t>；</w:t>
            </w:r>
          </w:p>
          <w:p w14:paraId="53AA0395">
            <w:pPr>
              <w:pStyle w:val="7"/>
              <w:adjustRightInd w:val="0"/>
              <w:snapToGrid w:val="0"/>
              <w:spacing w:line="240" w:lineRule="auto"/>
              <w:ind w:firstLine="0" w:firstLineChars="0"/>
              <w:jc w:val="center"/>
              <w:rPr>
                <w:rFonts w:ascii="仿宋_GB2312" w:hAnsi="宋体" w:eastAsia="仿宋_GB2312" w:cs="宋体"/>
                <w:kern w:val="2"/>
                <w:sz w:val="24"/>
                <w:szCs w:val="24"/>
                <w:highlight w:val="none"/>
                <w:lang w:val="en-US" w:eastAsia="zh-CN" w:bidi="ar-SA"/>
              </w:rPr>
            </w:pPr>
            <w:r>
              <w:rPr>
                <w:rFonts w:hint="eastAsia" w:ascii="方正仿宋_GB2312" w:hAnsi="方正仿宋_GB2312" w:eastAsia="方正仿宋_GB2312" w:cs="方正仿宋_GB2312"/>
                <w:sz w:val="24"/>
                <w:szCs w:val="24"/>
                <w:highlight w:val="none"/>
              </w:rPr>
              <w:t>定期对充电桩进行巡检、维护，及时处理设备故障，保障充电设施正常运行，具备设备故障诊断与修复能力</w:t>
            </w:r>
            <w:r>
              <w:rPr>
                <w:rFonts w:hint="eastAsia" w:ascii="方正仿宋_GB2312" w:hAnsi="方正仿宋_GB2312" w:eastAsia="方正仿宋_GB2312" w:cs="方正仿宋_GB2312"/>
                <w:sz w:val="24"/>
                <w:szCs w:val="24"/>
                <w:highlight w:val="none"/>
                <w:lang w:eastAsia="zh-CN"/>
              </w:rPr>
              <w:t>；</w:t>
            </w:r>
          </w:p>
        </w:tc>
        <w:tc>
          <w:tcPr>
            <w:tcW w:w="942" w:type="pct"/>
            <w:tcBorders>
              <w:top w:val="single" w:color="auto" w:sz="4" w:space="0"/>
              <w:left w:val="single" w:color="auto" w:sz="4" w:space="0"/>
              <w:bottom w:val="single" w:color="auto" w:sz="4" w:space="0"/>
              <w:right w:val="single" w:color="auto" w:sz="4" w:space="0"/>
            </w:tcBorders>
            <w:shd w:val="clear" w:color="auto" w:fill="auto"/>
            <w:vAlign w:val="center"/>
          </w:tcPr>
          <w:p w14:paraId="733E030E">
            <w:pPr>
              <w:jc w:val="center"/>
              <w:rPr>
                <w:rFonts w:hint="eastAsia" w:ascii="仿宋_GB2312" w:hAnsi="仿宋_GB2312" w:cs="仿宋_GB2312"/>
                <w:b/>
                <w:bCs w:val="0"/>
                <w:kern w:val="0"/>
                <w:sz w:val="24"/>
                <w:szCs w:val="24"/>
                <w:highlight w:val="none"/>
                <w:lang w:val="en-US" w:eastAsia="zh-CN"/>
              </w:rPr>
            </w:pPr>
            <w:r>
              <w:rPr>
                <w:rFonts w:hint="eastAsia" w:ascii="仿宋_GB2312" w:hAnsi="仿宋_GB2312" w:cs="仿宋_GB2312"/>
                <w:b/>
                <w:bCs w:val="0"/>
                <w:kern w:val="0"/>
                <w:sz w:val="24"/>
                <w:szCs w:val="24"/>
                <w:highlight w:val="none"/>
              </w:rPr>
              <w:t>充电</w:t>
            </w:r>
            <w:r>
              <w:rPr>
                <w:rFonts w:hint="eastAsia" w:ascii="仿宋_GB2312" w:hAnsi="仿宋_GB2312" w:cs="仿宋_GB2312"/>
                <w:b/>
                <w:bCs w:val="0"/>
                <w:kern w:val="0"/>
                <w:sz w:val="24"/>
                <w:szCs w:val="24"/>
                <w:highlight w:val="none"/>
                <w:lang w:val="en-US" w:eastAsia="zh-CN"/>
              </w:rPr>
              <w:t>设施运行与维护</w:t>
            </w:r>
          </w:p>
          <w:p w14:paraId="76718FE8">
            <w:pPr>
              <w:pStyle w:val="7"/>
              <w:adjustRightInd w:val="0"/>
              <w:snapToGrid w:val="0"/>
              <w:spacing w:line="240" w:lineRule="auto"/>
              <w:ind w:firstLine="0" w:firstLineChars="0"/>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电气设备故障诊断与维修</w:t>
            </w:r>
          </w:p>
          <w:p w14:paraId="2A68A3B4">
            <w:pPr>
              <w:snapToGrid w:val="0"/>
              <w:jc w:val="center"/>
              <w:rPr>
                <w:rFonts w:ascii="仿宋_GB2312" w:hAnsi="宋体" w:cs="宋体"/>
                <w:color w:val="000000" w:themeColor="text1"/>
                <w:spacing w:val="7"/>
                <w:sz w:val="24"/>
                <w:szCs w:val="24"/>
                <w:highlight w:val="none"/>
                <w14:textFill>
                  <w14:solidFill>
                    <w14:schemeClr w14:val="tx1"/>
                  </w14:solidFill>
                </w14:textFill>
              </w:rPr>
            </w:pPr>
            <w:r>
              <w:rPr>
                <w:rFonts w:hint="eastAsia" w:ascii="仿宋_GB2312" w:hAnsi="宋体" w:cs="宋体"/>
                <w:color w:val="000000" w:themeColor="text1"/>
                <w:spacing w:val="7"/>
                <w:sz w:val="24"/>
                <w:szCs w:val="24"/>
                <w:highlight w:val="none"/>
                <w14:textFill>
                  <w14:solidFill>
                    <w14:schemeClr w14:val="tx1"/>
                  </w14:solidFill>
                </w14:textFill>
              </w:rPr>
              <w:t>新能源汽车动力蓄电池及管理系统检修</w:t>
            </w:r>
          </w:p>
          <w:p w14:paraId="0F663E03">
            <w:pPr>
              <w:pStyle w:val="7"/>
              <w:adjustRightInd w:val="0"/>
              <w:snapToGrid w:val="0"/>
              <w:spacing w:line="240" w:lineRule="auto"/>
              <w:ind w:firstLine="0" w:firstLineChars="0"/>
              <w:jc w:val="center"/>
              <w:rPr>
                <w:rFonts w:hint="eastAsia" w:ascii="方正仿宋_GB2312" w:hAnsi="方正仿宋_GB2312" w:eastAsia="方正仿宋_GB2312" w:cs="方正仿宋_GB2312"/>
                <w:kern w:val="2"/>
                <w:sz w:val="24"/>
                <w:szCs w:val="24"/>
                <w:highlight w:val="none"/>
                <w:lang w:val="en-US" w:eastAsia="zh-CN" w:bidi="ar-SA"/>
              </w:rPr>
            </w:pPr>
          </w:p>
        </w:tc>
      </w:tr>
    </w:tbl>
    <w:p w14:paraId="6EF9A35D">
      <w:pPr>
        <w:pStyle w:val="3"/>
        <w:ind w:firstLine="482"/>
        <w:rPr>
          <w:sz w:val="24"/>
          <w:szCs w:val="24"/>
          <w:highlight w:val="none"/>
        </w:rPr>
      </w:pPr>
      <w:r>
        <w:rPr>
          <w:rFonts w:hint="eastAsia"/>
          <w:sz w:val="24"/>
          <w:szCs w:val="24"/>
          <w:highlight w:val="none"/>
        </w:rPr>
        <w:t>（三）职业技能等级证书</w:t>
      </w:r>
      <w:bookmarkEnd w:id="25"/>
      <w:bookmarkEnd w:id="26"/>
      <w:bookmarkEnd w:id="27"/>
      <w:r>
        <w:rPr>
          <w:sz w:val="24"/>
          <w:szCs w:val="24"/>
          <w:highlight w:val="none"/>
        </w:rPr>
        <w:tab/>
      </w:r>
    </w:p>
    <w:p w14:paraId="79FD1C0B">
      <w:pPr>
        <w:overflowPunct w:val="0"/>
        <w:adjustRightInd w:val="0"/>
        <w:snapToGrid w:val="0"/>
        <w:spacing w:line="360" w:lineRule="auto"/>
        <w:jc w:val="center"/>
        <w:rPr>
          <w:rFonts w:ascii="仿宋_GB2312" w:hAnsi="仿宋_GB2312" w:cs="仿宋_GB2312"/>
          <w:b/>
          <w:bCs/>
          <w:sz w:val="24"/>
          <w:szCs w:val="24"/>
          <w:highlight w:val="none"/>
        </w:rPr>
      </w:pPr>
      <w:r>
        <w:rPr>
          <w:rFonts w:hint="eastAsia" w:ascii="仿宋_GB2312" w:hAnsi="仿宋_GB2312" w:cs="仿宋_GB2312"/>
          <w:b/>
          <w:bCs/>
          <w:sz w:val="24"/>
          <w:szCs w:val="24"/>
          <w:highlight w:val="none"/>
        </w:rPr>
        <w:t>表三 职业技能等级证书</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
        <w:gridCol w:w="4153"/>
        <w:gridCol w:w="3451"/>
      </w:tblGrid>
      <w:tr w14:paraId="52ABB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9" w:type="pct"/>
            <w:vAlign w:val="center"/>
          </w:tcPr>
          <w:p w14:paraId="7E29DC89">
            <w:pPr>
              <w:widowControl/>
              <w:snapToGrid w:val="0"/>
              <w:spacing w:line="360" w:lineRule="auto"/>
              <w:jc w:val="center"/>
              <w:rPr>
                <w:rFonts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序号</w:t>
            </w:r>
          </w:p>
        </w:tc>
        <w:tc>
          <w:tcPr>
            <w:tcW w:w="2436" w:type="pct"/>
            <w:vAlign w:val="center"/>
          </w:tcPr>
          <w:p w14:paraId="26FE6E6E">
            <w:pPr>
              <w:widowControl/>
              <w:snapToGrid w:val="0"/>
              <w:spacing w:line="360" w:lineRule="auto"/>
              <w:jc w:val="center"/>
              <w:rPr>
                <w:rFonts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职业技能等级证书</w:t>
            </w:r>
          </w:p>
        </w:tc>
        <w:tc>
          <w:tcPr>
            <w:tcW w:w="2024" w:type="pct"/>
            <w:vAlign w:val="center"/>
          </w:tcPr>
          <w:p w14:paraId="09DF32C7">
            <w:pPr>
              <w:widowControl/>
              <w:snapToGrid w:val="0"/>
              <w:spacing w:line="360" w:lineRule="auto"/>
              <w:jc w:val="center"/>
              <w:rPr>
                <w:rFonts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颁证单位</w:t>
            </w:r>
          </w:p>
        </w:tc>
      </w:tr>
      <w:tr w14:paraId="19AA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9" w:type="pct"/>
            <w:vAlign w:val="center"/>
          </w:tcPr>
          <w:p w14:paraId="2032425A">
            <w:pPr>
              <w:snapToGrid w:val="0"/>
              <w:spacing w:line="360" w:lineRule="auto"/>
              <w:jc w:val="center"/>
              <w:rPr>
                <w:rFonts w:ascii="仿宋_GB2312" w:hAnsi="仿宋_GB2312" w:cs="仿宋_GB2312"/>
                <w:sz w:val="21"/>
                <w:szCs w:val="21"/>
                <w:highlight w:val="none"/>
              </w:rPr>
            </w:pPr>
            <w:r>
              <w:rPr>
                <w:rFonts w:hint="eastAsia" w:ascii="仿宋_GB2312" w:hAnsi="仿宋_GB2312" w:cs="仿宋_GB2312"/>
                <w:sz w:val="21"/>
                <w:szCs w:val="21"/>
                <w:highlight w:val="none"/>
              </w:rPr>
              <w:t>1</w:t>
            </w:r>
          </w:p>
        </w:tc>
        <w:tc>
          <w:tcPr>
            <w:tcW w:w="2436" w:type="pct"/>
            <w:shd w:val="clear" w:color="auto" w:fill="auto"/>
            <w:vAlign w:val="center"/>
          </w:tcPr>
          <w:p w14:paraId="43283AE1">
            <w:pPr>
              <w:snapToGrid w:val="0"/>
              <w:spacing w:line="360" w:lineRule="auto"/>
              <w:jc w:val="center"/>
              <w:rPr>
                <w:rFonts w:hint="eastAsia" w:ascii="仿宋_GB2312" w:hAnsi="仿宋_GB2312" w:cs="仿宋_GB2312"/>
                <w:kern w:val="0"/>
                <w:sz w:val="21"/>
                <w:szCs w:val="21"/>
                <w:highlight w:val="none"/>
                <w:lang w:val="en-US" w:eastAsia="zh-CN"/>
              </w:rPr>
            </w:pPr>
            <w:r>
              <w:rPr>
                <w:rFonts w:hint="eastAsia" w:ascii="仿宋_GB2312" w:hAnsi="仿宋_GB2312" w:cs="仿宋_GB2312"/>
                <w:kern w:val="0"/>
                <w:sz w:val="21"/>
                <w:szCs w:val="21"/>
                <w:highlight w:val="none"/>
              </w:rPr>
              <w:t>新能源汽车职业技能等级证书(中级)</w:t>
            </w:r>
          </w:p>
        </w:tc>
        <w:tc>
          <w:tcPr>
            <w:tcW w:w="2024" w:type="pct"/>
            <w:shd w:val="clear" w:color="auto" w:fill="auto"/>
            <w:vAlign w:val="center"/>
          </w:tcPr>
          <w:p w14:paraId="7967AED0">
            <w:pPr>
              <w:snapToGrid w:val="0"/>
              <w:spacing w:line="360" w:lineRule="auto"/>
              <w:jc w:val="center"/>
              <w:rPr>
                <w:rFonts w:hint="eastAsia" w:ascii="仿宋_GB2312" w:hAnsi="仿宋_GB2312" w:cs="仿宋_GB2312"/>
                <w:kern w:val="0"/>
                <w:sz w:val="21"/>
                <w:szCs w:val="21"/>
                <w:highlight w:val="none"/>
                <w:lang w:val="en-US" w:eastAsia="zh-CN"/>
              </w:rPr>
            </w:pPr>
            <w:r>
              <w:rPr>
                <w:rFonts w:hint="eastAsia" w:ascii="仿宋_GB2312" w:hAnsi="仿宋_GB2312" w:cs="仿宋_GB2312"/>
                <w:kern w:val="0"/>
                <w:sz w:val="21"/>
                <w:szCs w:val="21"/>
                <w:highlight w:val="none"/>
              </w:rPr>
              <w:t>北京中车行高新技术有限公司</w:t>
            </w:r>
          </w:p>
        </w:tc>
      </w:tr>
      <w:tr w14:paraId="0CF2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9" w:type="pct"/>
            <w:vAlign w:val="center"/>
          </w:tcPr>
          <w:p w14:paraId="38A64BAD">
            <w:pPr>
              <w:snapToGrid w:val="0"/>
              <w:spacing w:line="360" w:lineRule="auto"/>
              <w:jc w:val="center"/>
              <w:rPr>
                <w:rFonts w:ascii="仿宋_GB2312" w:hAnsi="仿宋_GB2312" w:cs="仿宋_GB2312"/>
                <w:sz w:val="21"/>
                <w:szCs w:val="21"/>
                <w:highlight w:val="none"/>
              </w:rPr>
            </w:pPr>
            <w:r>
              <w:rPr>
                <w:rFonts w:ascii="仿宋_GB2312" w:hAnsi="仿宋_GB2312" w:cs="仿宋_GB2312"/>
                <w:sz w:val="21"/>
                <w:szCs w:val="21"/>
                <w:highlight w:val="none"/>
              </w:rPr>
              <w:t>2</w:t>
            </w:r>
          </w:p>
        </w:tc>
        <w:tc>
          <w:tcPr>
            <w:tcW w:w="2436" w:type="pct"/>
            <w:shd w:val="clear" w:color="auto" w:fill="auto"/>
            <w:vAlign w:val="center"/>
          </w:tcPr>
          <w:p w14:paraId="5EB20BE7">
            <w:pPr>
              <w:snapToGrid w:val="0"/>
              <w:spacing w:line="360" w:lineRule="auto"/>
              <w:jc w:val="center"/>
              <w:rPr>
                <w:rFonts w:hint="eastAsia" w:ascii="仿宋_GB2312" w:hAnsi="仿宋_GB2312" w:cs="仿宋_GB2312"/>
                <w:kern w:val="0"/>
                <w:sz w:val="21"/>
                <w:szCs w:val="21"/>
                <w:highlight w:val="none"/>
                <w:lang w:val="en-US" w:eastAsia="zh-CN"/>
              </w:rPr>
            </w:pPr>
            <w:r>
              <w:rPr>
                <w:rFonts w:hint="eastAsia" w:ascii="仿宋_GB2312" w:hAnsi="仿宋_GB2312" w:cs="仿宋_GB2312"/>
                <w:kern w:val="0"/>
                <w:sz w:val="21"/>
                <w:szCs w:val="21"/>
                <w:highlight w:val="none"/>
              </w:rPr>
              <w:t>汽车运用与维修职业技能等级证书(中级)</w:t>
            </w:r>
          </w:p>
        </w:tc>
        <w:tc>
          <w:tcPr>
            <w:tcW w:w="2024" w:type="pct"/>
            <w:shd w:val="clear" w:color="auto" w:fill="auto"/>
            <w:vAlign w:val="center"/>
          </w:tcPr>
          <w:p w14:paraId="6F7F97DF">
            <w:pPr>
              <w:snapToGrid w:val="0"/>
              <w:spacing w:line="360" w:lineRule="auto"/>
              <w:jc w:val="center"/>
              <w:rPr>
                <w:rFonts w:hint="eastAsia" w:ascii="仿宋_GB2312" w:hAnsi="仿宋_GB2312" w:cs="仿宋_GB2312"/>
                <w:kern w:val="0"/>
                <w:sz w:val="21"/>
                <w:szCs w:val="21"/>
                <w:highlight w:val="none"/>
                <w:lang w:val="en-US" w:eastAsia="zh-CN"/>
              </w:rPr>
            </w:pPr>
            <w:r>
              <w:rPr>
                <w:rFonts w:hint="eastAsia" w:ascii="仿宋_GB2312" w:hAnsi="仿宋_GB2312" w:cs="仿宋_GB2312"/>
                <w:kern w:val="0"/>
                <w:sz w:val="21"/>
                <w:szCs w:val="21"/>
                <w:highlight w:val="none"/>
              </w:rPr>
              <w:t>北京中车行高新技术有限公司</w:t>
            </w:r>
          </w:p>
        </w:tc>
      </w:tr>
      <w:tr w14:paraId="2BFEE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9" w:type="pct"/>
            <w:vAlign w:val="center"/>
          </w:tcPr>
          <w:p w14:paraId="45E6D8DE">
            <w:pPr>
              <w:snapToGrid w:val="0"/>
              <w:spacing w:line="360" w:lineRule="auto"/>
              <w:jc w:val="center"/>
              <w:rPr>
                <w:rFonts w:ascii="仿宋_GB2312" w:hAnsi="仿宋_GB2312" w:cs="仿宋_GB2312"/>
                <w:sz w:val="24"/>
                <w:szCs w:val="24"/>
                <w:highlight w:val="none"/>
              </w:rPr>
            </w:pPr>
            <w:r>
              <w:rPr>
                <w:rFonts w:ascii="仿宋_GB2312" w:hAnsi="仿宋_GB2312" w:cs="仿宋_GB2312"/>
                <w:sz w:val="24"/>
                <w:szCs w:val="24"/>
                <w:highlight w:val="none"/>
              </w:rPr>
              <w:t>3</w:t>
            </w:r>
          </w:p>
        </w:tc>
        <w:tc>
          <w:tcPr>
            <w:tcW w:w="2436" w:type="pct"/>
            <w:shd w:val="clear" w:color="auto" w:fill="auto"/>
            <w:vAlign w:val="center"/>
          </w:tcPr>
          <w:p w14:paraId="441A9703">
            <w:pPr>
              <w:snapToGrid w:val="0"/>
              <w:spacing w:line="360" w:lineRule="auto"/>
              <w:jc w:val="center"/>
              <w:rPr>
                <w:rFonts w:hint="eastAsia" w:ascii="仿宋_GB2312" w:hAnsi="仿宋_GB2312" w:cs="仿宋_GB2312"/>
                <w:kern w:val="0"/>
                <w:sz w:val="24"/>
                <w:szCs w:val="24"/>
                <w:highlight w:val="none"/>
                <w:lang w:val="en-US" w:eastAsia="zh-CN"/>
              </w:rPr>
            </w:pPr>
            <w:r>
              <w:rPr>
                <w:rFonts w:hint="eastAsia" w:ascii="仿宋_GB2312" w:hAnsi="仿宋_GB2312" w:cs="仿宋_GB2312"/>
                <w:kern w:val="0"/>
                <w:sz w:val="24"/>
                <w:szCs w:val="24"/>
                <w:highlight w:val="none"/>
                <w:lang w:val="en-US" w:eastAsia="zh-CN"/>
              </w:rPr>
              <w:t>充电基础设施运维工程师</w:t>
            </w:r>
            <w:r>
              <w:rPr>
                <w:rFonts w:hint="eastAsia" w:ascii="仿宋_GB2312" w:hAnsi="仿宋_GB2312" w:cs="仿宋_GB2312"/>
                <w:kern w:val="0"/>
                <w:sz w:val="24"/>
                <w:szCs w:val="24"/>
                <w:highlight w:val="none"/>
              </w:rPr>
              <w:t>（中级）</w:t>
            </w:r>
          </w:p>
        </w:tc>
        <w:tc>
          <w:tcPr>
            <w:tcW w:w="2024" w:type="pct"/>
            <w:shd w:val="clear" w:color="auto" w:fill="auto"/>
            <w:vAlign w:val="center"/>
          </w:tcPr>
          <w:p w14:paraId="4B202A2D">
            <w:pPr>
              <w:snapToGrid w:val="0"/>
              <w:spacing w:line="360" w:lineRule="auto"/>
              <w:jc w:val="center"/>
              <w:rPr>
                <w:rFonts w:hint="eastAsia" w:ascii="仿宋_GB2312" w:hAnsi="仿宋_GB2312" w:cs="仿宋_GB2312"/>
                <w:kern w:val="0"/>
                <w:sz w:val="24"/>
                <w:szCs w:val="24"/>
                <w:highlight w:val="none"/>
                <w:lang w:val="en-US" w:eastAsia="zh-CN"/>
              </w:rPr>
            </w:pPr>
            <w:r>
              <w:rPr>
                <w:rFonts w:hint="eastAsia" w:ascii="仿宋_GB2312" w:hAnsi="仿宋_GB2312" w:cs="仿宋_GB2312"/>
                <w:kern w:val="0"/>
                <w:sz w:val="24"/>
                <w:szCs w:val="24"/>
                <w:highlight w:val="none"/>
                <w:lang w:val="en-US" w:eastAsia="zh-CN"/>
              </w:rPr>
              <w:t>安徽充换电有限责任</w:t>
            </w:r>
            <w:r>
              <w:rPr>
                <w:rFonts w:hint="eastAsia" w:ascii="仿宋_GB2312" w:hAnsi="仿宋_GB2312" w:cs="仿宋_GB2312"/>
                <w:kern w:val="0"/>
                <w:sz w:val="24"/>
                <w:szCs w:val="24"/>
                <w:highlight w:val="none"/>
              </w:rPr>
              <w:t>公司</w:t>
            </w:r>
          </w:p>
        </w:tc>
      </w:tr>
      <w:tr w14:paraId="5209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9" w:type="pct"/>
            <w:vAlign w:val="center"/>
          </w:tcPr>
          <w:p w14:paraId="6C610575">
            <w:pPr>
              <w:snapToGrid w:val="0"/>
              <w:spacing w:line="360" w:lineRule="auto"/>
              <w:jc w:val="center"/>
              <w:rPr>
                <w:rFonts w:ascii="仿宋_GB2312" w:hAnsi="仿宋_GB2312" w:cs="仿宋_GB2312"/>
                <w:b/>
                <w:sz w:val="21"/>
                <w:szCs w:val="21"/>
                <w:highlight w:val="none"/>
              </w:rPr>
            </w:pPr>
            <w:r>
              <w:rPr>
                <w:rFonts w:hint="eastAsia" w:ascii="仿宋_GB2312" w:hAnsi="仿宋_GB2312" w:cs="仿宋_GB2312"/>
                <w:b/>
                <w:sz w:val="21"/>
                <w:szCs w:val="21"/>
                <w:highlight w:val="none"/>
              </w:rPr>
              <w:t>序号</w:t>
            </w:r>
          </w:p>
        </w:tc>
        <w:tc>
          <w:tcPr>
            <w:tcW w:w="2436" w:type="pct"/>
            <w:shd w:val="clear" w:color="auto" w:fill="auto"/>
            <w:vAlign w:val="center"/>
          </w:tcPr>
          <w:p w14:paraId="611B5954">
            <w:pPr>
              <w:widowControl/>
              <w:snapToGrid w:val="0"/>
              <w:spacing w:line="360" w:lineRule="auto"/>
              <w:jc w:val="center"/>
              <w:rPr>
                <w:rFonts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社会认可度高的行业企业证书</w:t>
            </w:r>
          </w:p>
        </w:tc>
        <w:tc>
          <w:tcPr>
            <w:tcW w:w="2024" w:type="pct"/>
            <w:shd w:val="clear" w:color="auto" w:fill="auto"/>
            <w:vAlign w:val="center"/>
          </w:tcPr>
          <w:p w14:paraId="713EE738">
            <w:pPr>
              <w:widowControl/>
              <w:snapToGrid w:val="0"/>
              <w:spacing w:line="360" w:lineRule="auto"/>
              <w:jc w:val="center"/>
              <w:rPr>
                <w:rFonts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标准制定的企业</w:t>
            </w:r>
          </w:p>
          <w:p w14:paraId="15394B47">
            <w:pPr>
              <w:widowControl/>
              <w:snapToGrid w:val="0"/>
              <w:spacing w:line="360" w:lineRule="auto"/>
              <w:jc w:val="center"/>
              <w:rPr>
                <w:rFonts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或证书颁证单位</w:t>
            </w:r>
          </w:p>
        </w:tc>
      </w:tr>
      <w:tr w14:paraId="257A3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39" w:type="pct"/>
            <w:vAlign w:val="center"/>
          </w:tcPr>
          <w:p w14:paraId="575A89C5">
            <w:pPr>
              <w:snapToGrid w:val="0"/>
              <w:spacing w:line="360" w:lineRule="auto"/>
              <w:jc w:val="center"/>
              <w:rPr>
                <w:rFonts w:ascii="仿宋_GB2312" w:hAnsi="仿宋_GB2312" w:cs="仿宋_GB2312"/>
                <w:sz w:val="21"/>
                <w:szCs w:val="21"/>
                <w:highlight w:val="none"/>
              </w:rPr>
            </w:pPr>
            <w:r>
              <w:rPr>
                <w:rFonts w:hint="eastAsia" w:ascii="仿宋_GB2312" w:hAnsi="仿宋_GB2312" w:cs="仿宋_GB2312"/>
                <w:sz w:val="21"/>
                <w:szCs w:val="21"/>
                <w:highlight w:val="none"/>
              </w:rPr>
              <w:t>1</w:t>
            </w:r>
          </w:p>
        </w:tc>
        <w:tc>
          <w:tcPr>
            <w:tcW w:w="2436" w:type="pct"/>
            <w:shd w:val="clear" w:color="auto" w:fill="auto"/>
            <w:vAlign w:val="center"/>
          </w:tcPr>
          <w:p w14:paraId="4764218F">
            <w:pPr>
              <w:snapToGrid w:val="0"/>
              <w:spacing w:line="360" w:lineRule="auto"/>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新能源汽车维修技能证书</w:t>
            </w:r>
          </w:p>
        </w:tc>
        <w:tc>
          <w:tcPr>
            <w:tcW w:w="2024" w:type="pct"/>
            <w:shd w:val="clear" w:color="auto" w:fill="auto"/>
            <w:vAlign w:val="center"/>
          </w:tcPr>
          <w:p w14:paraId="6768405E">
            <w:pPr>
              <w:snapToGrid w:val="0"/>
              <w:spacing w:line="360" w:lineRule="auto"/>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安徽省人力资源和社会保障厅</w:t>
            </w:r>
          </w:p>
        </w:tc>
      </w:tr>
    </w:tbl>
    <w:p w14:paraId="74CDBC53">
      <w:pPr>
        <w:pStyle w:val="2"/>
        <w:spacing w:before="0" w:beforeLines="0" w:after="0" w:afterLines="0"/>
        <w:ind w:firstLine="480"/>
        <w:rPr>
          <w:sz w:val="24"/>
          <w:szCs w:val="24"/>
          <w:highlight w:val="none"/>
        </w:rPr>
      </w:pPr>
      <w:bookmarkStart w:id="28" w:name="_Toc201407673"/>
      <w:bookmarkStart w:id="29" w:name="_Toc168736736"/>
      <w:bookmarkStart w:id="30" w:name="_Toc7130"/>
      <w:r>
        <w:rPr>
          <w:rFonts w:hint="eastAsia"/>
          <w:sz w:val="24"/>
          <w:szCs w:val="24"/>
          <w:highlight w:val="none"/>
        </w:rPr>
        <w:t>五、培养目标及规格</w:t>
      </w:r>
      <w:bookmarkEnd w:id="28"/>
      <w:bookmarkEnd w:id="29"/>
      <w:bookmarkEnd w:id="30"/>
    </w:p>
    <w:p w14:paraId="13BEA4D5">
      <w:pPr>
        <w:pStyle w:val="3"/>
        <w:ind w:firstLine="482"/>
        <w:rPr>
          <w:sz w:val="24"/>
          <w:szCs w:val="24"/>
          <w:highlight w:val="none"/>
        </w:rPr>
      </w:pPr>
      <w:bookmarkStart w:id="31" w:name="_Toc201407674"/>
      <w:bookmarkStart w:id="32" w:name="_Toc168736737"/>
      <w:bookmarkStart w:id="33" w:name="_Toc12590"/>
      <w:r>
        <w:rPr>
          <w:rFonts w:hint="eastAsia"/>
          <w:sz w:val="24"/>
          <w:szCs w:val="24"/>
          <w:highlight w:val="none"/>
        </w:rPr>
        <w:t>（一）培养目标</w:t>
      </w:r>
      <w:bookmarkEnd w:id="31"/>
      <w:bookmarkEnd w:id="32"/>
      <w:bookmarkEnd w:id="33"/>
    </w:p>
    <w:p w14:paraId="63FA0416">
      <w:pPr>
        <w:snapToGrid w:val="0"/>
        <w:spacing w:line="360" w:lineRule="auto"/>
        <w:ind w:firstLine="480" w:firstLineChars="200"/>
        <w:rPr>
          <w:highlight w:val="none"/>
        </w:rPr>
      </w:pPr>
      <w:r>
        <w:rPr>
          <w:rFonts w:hint="eastAsia" w:ascii="仿宋_GB2312" w:hAnsi="Times New Roman" w:cs="Times New Roman"/>
          <w:sz w:val="24"/>
          <w:szCs w:val="24"/>
          <w:highlight w:val="none"/>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汽车修理与维护行业的新能源汽车维修技术服务人员、工程技术人员及整车制造人员等职业，能够从事新能源汽车维护、新能源汽车检测与维修、</w:t>
      </w:r>
      <w:r>
        <w:rPr>
          <w:rFonts w:hint="eastAsia" w:ascii="仿宋_GB2312" w:hAnsi="Times New Roman" w:cs="Times New Roman"/>
          <w:b/>
          <w:bCs/>
          <w:sz w:val="24"/>
          <w:szCs w:val="24"/>
          <w:highlight w:val="none"/>
          <w:lang w:val="en-US" w:eastAsia="zh-CN"/>
        </w:rPr>
        <w:t>新能源汽车充电设备装调检测与维护等工作</w:t>
      </w:r>
      <w:r>
        <w:rPr>
          <w:rFonts w:hint="eastAsia" w:ascii="仿宋_GB2312" w:hAnsi="Times New Roman" w:cs="Times New Roman"/>
          <w:sz w:val="24"/>
          <w:szCs w:val="24"/>
          <w:highlight w:val="none"/>
          <w:lang w:val="en-US" w:eastAsia="zh-CN"/>
        </w:rPr>
        <w:t>的高技能人才。</w:t>
      </w:r>
    </w:p>
    <w:p w14:paraId="342F9D87">
      <w:pPr>
        <w:pStyle w:val="3"/>
        <w:ind w:firstLine="482"/>
        <w:rPr>
          <w:sz w:val="24"/>
          <w:szCs w:val="24"/>
          <w:highlight w:val="none"/>
        </w:rPr>
      </w:pPr>
      <w:bookmarkStart w:id="34" w:name="_Toc13148"/>
      <w:bookmarkStart w:id="35" w:name="_Toc168736738"/>
      <w:bookmarkStart w:id="36" w:name="_Toc201407675"/>
      <w:r>
        <w:rPr>
          <w:rFonts w:hint="eastAsia"/>
          <w:sz w:val="24"/>
          <w:szCs w:val="24"/>
          <w:highlight w:val="none"/>
        </w:rPr>
        <w:t>（二）培养规格</w:t>
      </w:r>
      <w:bookmarkEnd w:id="34"/>
      <w:bookmarkEnd w:id="35"/>
      <w:bookmarkEnd w:id="36"/>
    </w:p>
    <w:p w14:paraId="21BB0B9A">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本专业学生应在系统学习本专业知识并完成有关实习实训基础上，全面提升知识、能力、素质，掌握并实际运用岗位（群）需要的专业核心技术技能，实现德智体美劳全面发展，总体上须达到以下要求：</w:t>
      </w:r>
    </w:p>
    <w:p w14:paraId="1FB8D855">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1.坚定拥护中国共产党领导和中国特色社会主义制度，以习近平新时代中国特色社会主义思想为指导，践行社会主义核心价值观，具有坚定的理想信念、深厚的爱国情感和中华民族自豪感。</w:t>
      </w:r>
    </w:p>
    <w:p w14:paraId="728D76A3">
      <w:pPr>
        <w:overflowPunct w:val="0"/>
        <w:adjustRightInd w:val="0"/>
        <w:snapToGrid w:val="0"/>
        <w:spacing w:line="360" w:lineRule="auto"/>
        <w:ind w:firstLine="480" w:firstLineChars="200"/>
        <w:rPr>
          <w:rFonts w:hint="eastAsia" w:ascii="仿宋_GB2312" w:hAnsi="Times New Roman" w:cs="Times New Roman"/>
          <w:sz w:val="24"/>
          <w:szCs w:val="24"/>
          <w:highlight w:val="none"/>
        </w:rPr>
      </w:pPr>
      <w:r>
        <w:rPr>
          <w:rFonts w:hint="eastAsia" w:ascii="仿宋_GB2312" w:hAnsi="Times New Roman" w:cs="Times New Roman"/>
          <w:sz w:val="24"/>
          <w:szCs w:val="24"/>
          <w:highlight w:val="none"/>
        </w:rPr>
        <w:t>2.掌握与本专业对应职业活动相关的国家法律、行业规定，具有“细节决定成败”的质量意识，“绿色出行、低碳生活、节能减排”的环保意识，“以人为本、安全第一”的安全意识，紧跟新能源汽车行业的信息素养、精益求精的工匠精神，“电动化、智能化、网联化、共享化”的创新思维。</w:t>
      </w:r>
    </w:p>
    <w:p w14:paraId="42B6EF8A">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3.掌握支撑本专业学习和可持续发展必备的语文、数学、外语（英语等）、信息技术等文化基础知识，具有良好的人文素养与科学素养，具备职业生涯规划能力。</w:t>
      </w:r>
    </w:p>
    <w:p w14:paraId="7F105C2B">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4.具有良好的语言表达能力、文字表达能力、沟通合作能力，具有较强的集体意识和团队合作意识，学习1门外语并结合本专业加以运用。</w:t>
      </w:r>
    </w:p>
    <w:p w14:paraId="4296AA25">
      <w:pPr>
        <w:overflowPunct w:val="0"/>
        <w:adjustRightInd w:val="0"/>
        <w:snapToGrid w:val="0"/>
        <w:spacing w:line="360" w:lineRule="auto"/>
        <w:ind w:firstLine="480" w:firstLineChars="200"/>
        <w:rPr>
          <w:rFonts w:hint="eastAsia" w:ascii="仿宋_GB2312" w:hAnsi="Times New Roman" w:cs="Times New Roman"/>
          <w:sz w:val="24"/>
          <w:szCs w:val="24"/>
          <w:highlight w:val="none"/>
        </w:rPr>
      </w:pPr>
      <w:r>
        <w:rPr>
          <w:rFonts w:hint="eastAsia" w:ascii="仿宋_GB2312" w:hAnsi="Times New Roman" w:cs="Times New Roman"/>
          <w:sz w:val="24"/>
          <w:szCs w:val="24"/>
          <w:highlight w:val="none"/>
        </w:rPr>
        <w:t>5.掌握</w:t>
      </w:r>
      <w:r>
        <w:rPr>
          <w:rFonts w:hint="eastAsia" w:ascii="仿宋_GB2312" w:hAnsi="Times New Roman" w:cs="Times New Roman"/>
          <w:sz w:val="24"/>
          <w:szCs w:val="24"/>
          <w:highlight w:val="none"/>
          <w:lang w:val="en-US" w:eastAsia="zh-CN"/>
        </w:rPr>
        <w:t>汽车构造</w:t>
      </w:r>
      <w:r>
        <w:rPr>
          <w:rFonts w:hint="eastAsia" w:ascii="仿宋_GB2312" w:hAnsi="Times New Roman" w:cs="Times New Roman"/>
          <w:sz w:val="24"/>
          <w:szCs w:val="24"/>
          <w:highlight w:val="none"/>
        </w:rPr>
        <w:t>、</w:t>
      </w:r>
      <w:r>
        <w:rPr>
          <w:rFonts w:hint="eastAsia" w:ascii="仿宋_GB2312" w:hAnsi="Times New Roman" w:cs="Times New Roman"/>
          <w:sz w:val="24"/>
          <w:szCs w:val="24"/>
          <w:highlight w:val="none"/>
          <w:lang w:val="en-US" w:eastAsia="zh-CN"/>
        </w:rPr>
        <w:t>新能源汽车三电系统、汽车故障诊断与排除</w:t>
      </w:r>
      <w:r>
        <w:rPr>
          <w:rFonts w:hint="eastAsia" w:ascii="仿宋_GB2312" w:hAnsi="Times New Roman" w:cs="Times New Roman"/>
          <w:sz w:val="24"/>
          <w:szCs w:val="24"/>
          <w:highlight w:val="none"/>
        </w:rPr>
        <w:t>等方面的专业基础理论知识；</w:t>
      </w:r>
    </w:p>
    <w:p w14:paraId="59E8234A">
      <w:pPr>
        <w:overflowPunct w:val="0"/>
        <w:adjustRightInd w:val="0"/>
        <w:snapToGrid w:val="0"/>
        <w:spacing w:line="360" w:lineRule="auto"/>
        <w:ind w:firstLine="480" w:firstLineChars="200"/>
        <w:rPr>
          <w:rFonts w:hint="eastAsia" w:ascii="仿宋_GB2312" w:hAnsi="Times New Roman" w:cs="Times New Roman"/>
          <w:sz w:val="24"/>
          <w:szCs w:val="24"/>
          <w:highlight w:val="none"/>
        </w:rPr>
      </w:pPr>
      <w:r>
        <w:rPr>
          <w:rFonts w:hint="eastAsia" w:ascii="仿宋_GB2312" w:hAnsi="Times New Roman" w:cs="Times New Roman"/>
          <w:sz w:val="24"/>
          <w:szCs w:val="24"/>
          <w:highlight w:val="none"/>
          <w:lang w:val="en-US" w:eastAsia="zh-CN"/>
        </w:rPr>
        <w:t>6</w:t>
      </w:r>
      <w:r>
        <w:rPr>
          <w:rFonts w:hint="eastAsia" w:ascii="仿宋_GB2312" w:hAnsi="Times New Roman" w:cs="Times New Roman"/>
          <w:sz w:val="24"/>
          <w:szCs w:val="24"/>
          <w:highlight w:val="none"/>
        </w:rPr>
        <w:t>.具有一定的新能源汽车整车及关键零部件生产过程中质量检验和性能检测的能力；</w:t>
      </w:r>
    </w:p>
    <w:p w14:paraId="1D89D883">
      <w:pPr>
        <w:overflowPunct w:val="0"/>
        <w:adjustRightInd w:val="0"/>
        <w:snapToGrid w:val="0"/>
        <w:spacing w:line="360" w:lineRule="auto"/>
        <w:ind w:firstLine="480" w:firstLineChars="200"/>
        <w:rPr>
          <w:rFonts w:hint="eastAsia" w:ascii="仿宋_GB2312" w:hAnsi="Times New Roman" w:cs="Times New Roman"/>
          <w:sz w:val="24"/>
          <w:szCs w:val="24"/>
          <w:highlight w:val="none"/>
        </w:rPr>
      </w:pPr>
      <w:r>
        <w:rPr>
          <w:rFonts w:hint="eastAsia" w:ascii="仿宋_GB2312" w:hAnsi="Times New Roman" w:cs="Times New Roman"/>
          <w:sz w:val="24"/>
          <w:szCs w:val="24"/>
          <w:highlight w:val="none"/>
          <w:lang w:val="en-US" w:eastAsia="zh-CN"/>
        </w:rPr>
        <w:t>7.</w:t>
      </w:r>
      <w:r>
        <w:rPr>
          <w:rFonts w:hint="eastAsia" w:ascii="仿宋_GB2312" w:hAnsi="Times New Roman" w:cs="Times New Roman"/>
          <w:b/>
          <w:bCs/>
          <w:sz w:val="28"/>
          <w:szCs w:val="28"/>
          <w:highlight w:val="none"/>
        </w:rPr>
        <w:t>掌握新能源汽车充电设备装调、维修的能力</w:t>
      </w:r>
      <w:r>
        <w:rPr>
          <w:rFonts w:hint="eastAsia" w:ascii="仿宋_GB2312" w:hAnsi="Times New Roman" w:cs="Times New Roman"/>
          <w:sz w:val="24"/>
          <w:szCs w:val="24"/>
          <w:highlight w:val="none"/>
        </w:rPr>
        <w:t>。</w:t>
      </w:r>
    </w:p>
    <w:p w14:paraId="4C43CBB7">
      <w:pPr>
        <w:overflowPunct w:val="0"/>
        <w:adjustRightInd w:val="0"/>
        <w:snapToGrid w:val="0"/>
        <w:spacing w:line="360" w:lineRule="auto"/>
        <w:ind w:firstLine="480" w:firstLineChars="200"/>
        <w:rPr>
          <w:rFonts w:hint="eastAsia" w:ascii="仿宋_GB2312" w:hAnsi="Times New Roman" w:cs="Times New Roman"/>
          <w:sz w:val="24"/>
          <w:szCs w:val="24"/>
          <w:highlight w:val="none"/>
        </w:rPr>
      </w:pPr>
      <w:r>
        <w:rPr>
          <w:rFonts w:hint="eastAsia" w:ascii="仿宋_GB2312" w:hAnsi="Times New Roman" w:cs="Times New Roman"/>
          <w:sz w:val="24"/>
          <w:szCs w:val="24"/>
          <w:highlight w:val="none"/>
          <w:lang w:val="en-US" w:eastAsia="zh-CN"/>
        </w:rPr>
        <w:t>8</w:t>
      </w:r>
      <w:r>
        <w:rPr>
          <w:rFonts w:hint="eastAsia" w:ascii="仿宋_GB2312" w:hAnsi="Times New Roman" w:cs="Times New Roman"/>
          <w:sz w:val="24"/>
          <w:szCs w:val="24"/>
          <w:highlight w:val="none"/>
        </w:rPr>
        <w:t>.掌握信息技术基础知识，具有适应本领域数字化和智能化发展需求的数字技能。</w:t>
      </w:r>
    </w:p>
    <w:p w14:paraId="5FEB192D">
      <w:pPr>
        <w:overflowPunct w:val="0"/>
        <w:adjustRightInd w:val="0"/>
        <w:snapToGrid w:val="0"/>
        <w:spacing w:line="360" w:lineRule="auto"/>
        <w:ind w:firstLine="480" w:firstLineChars="200"/>
        <w:rPr>
          <w:rFonts w:ascii="仿宋_GB2312"/>
          <w:sz w:val="24"/>
          <w:szCs w:val="24"/>
          <w:highlight w:val="none"/>
        </w:rPr>
      </w:pPr>
      <w:r>
        <w:rPr>
          <w:rFonts w:hint="eastAsia" w:ascii="仿宋_GB2312" w:hAnsi="Times New Roman" w:cs="Times New Roman"/>
          <w:sz w:val="24"/>
          <w:szCs w:val="24"/>
          <w:highlight w:val="none"/>
          <w:lang w:val="en-US" w:eastAsia="zh-CN"/>
        </w:rPr>
        <w:t>9</w:t>
      </w:r>
      <w:r>
        <w:rPr>
          <w:rFonts w:hint="eastAsia" w:ascii="仿宋_GB2312" w:hAnsi="Times New Roman" w:cs="Times New Roman"/>
          <w:sz w:val="24"/>
          <w:szCs w:val="24"/>
          <w:highlight w:val="none"/>
        </w:rPr>
        <w:t>.具有探究学习、终身学习和可持续发展</w:t>
      </w:r>
      <w:r>
        <w:rPr>
          <w:rFonts w:hint="eastAsia" w:ascii="仿宋_GB2312"/>
          <w:sz w:val="24"/>
          <w:szCs w:val="24"/>
          <w:highlight w:val="none"/>
        </w:rPr>
        <w:t>的能力，具有整合知识和综合运用知识分析问题和解决问题的能力。</w:t>
      </w:r>
    </w:p>
    <w:p w14:paraId="5931AA30">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1</w:t>
      </w:r>
      <w:r>
        <w:rPr>
          <w:rFonts w:hint="eastAsia" w:ascii="仿宋_GB2312"/>
          <w:sz w:val="24"/>
          <w:szCs w:val="24"/>
          <w:highlight w:val="none"/>
          <w:lang w:val="en-US" w:eastAsia="zh-CN"/>
        </w:rPr>
        <w:t>0</w:t>
      </w:r>
      <w:r>
        <w:rPr>
          <w:rFonts w:hint="eastAsia" w:ascii="仿宋_GB2312"/>
          <w:sz w:val="24"/>
          <w:szCs w:val="24"/>
          <w:highlight w:val="none"/>
        </w:rPr>
        <w:t>.掌握身体运动的基本知识和至少1项体育运动技能，达到国家大学生体质健康测试合格标准，养成良好的运动习惯、卫生习惯和行为习惯；具备一定的心理调适能力。</w:t>
      </w:r>
    </w:p>
    <w:p w14:paraId="615AE148">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1</w:t>
      </w:r>
      <w:r>
        <w:rPr>
          <w:rFonts w:hint="eastAsia" w:ascii="仿宋_GB2312"/>
          <w:sz w:val="24"/>
          <w:szCs w:val="24"/>
          <w:highlight w:val="none"/>
          <w:lang w:val="en-US" w:eastAsia="zh-CN"/>
        </w:rPr>
        <w:t>1</w:t>
      </w:r>
      <w:r>
        <w:rPr>
          <w:rFonts w:hint="eastAsia" w:ascii="仿宋_GB2312"/>
          <w:sz w:val="24"/>
          <w:szCs w:val="24"/>
          <w:highlight w:val="none"/>
        </w:rPr>
        <w:t>.掌握必备的美育知识，具有一定的文化修养、审美能力，形成至少1项艺术特长或爱好。</w:t>
      </w:r>
    </w:p>
    <w:p w14:paraId="76816BEF">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1</w:t>
      </w:r>
      <w:r>
        <w:rPr>
          <w:rFonts w:hint="eastAsia" w:ascii="仿宋_GB2312"/>
          <w:sz w:val="24"/>
          <w:szCs w:val="24"/>
          <w:highlight w:val="none"/>
          <w:lang w:val="en-US" w:eastAsia="zh-CN"/>
        </w:rPr>
        <w:t>2</w:t>
      </w:r>
      <w:r>
        <w:rPr>
          <w:rFonts w:hint="eastAsia" w:ascii="仿宋_GB2312"/>
          <w:sz w:val="24"/>
          <w:szCs w:val="24"/>
          <w:highlight w:val="none"/>
        </w:rPr>
        <w:t>.树立正确的劳动观，尊重劳动，热爱劳动，具备与本专业职业发展相适应的劳动素养，弘扬劳模精神、劳动精神、工匠精神，弘扬劳动光荣、技能宝贵、创造伟大的时代风尚。</w:t>
      </w:r>
    </w:p>
    <w:p w14:paraId="5E16956D">
      <w:pPr>
        <w:pStyle w:val="2"/>
        <w:spacing w:before="0" w:beforeLines="0" w:after="0" w:afterLines="0"/>
        <w:ind w:firstLine="480"/>
        <w:rPr>
          <w:sz w:val="24"/>
          <w:szCs w:val="24"/>
          <w:highlight w:val="none"/>
        </w:rPr>
      </w:pPr>
      <w:bookmarkStart w:id="37" w:name="_Toc201407676"/>
      <w:bookmarkStart w:id="38" w:name="_Toc168736739"/>
      <w:bookmarkStart w:id="39" w:name="_Toc14400"/>
      <w:r>
        <w:rPr>
          <w:rFonts w:hint="eastAsia"/>
          <w:sz w:val="24"/>
          <w:szCs w:val="24"/>
          <w:highlight w:val="none"/>
        </w:rPr>
        <w:t>六、课程设置及要求</w:t>
      </w:r>
      <w:bookmarkEnd w:id="37"/>
      <w:bookmarkEnd w:id="38"/>
      <w:bookmarkEnd w:id="39"/>
    </w:p>
    <w:p w14:paraId="236F5C21">
      <w:pPr>
        <w:pStyle w:val="3"/>
        <w:ind w:firstLine="482"/>
        <w:rPr>
          <w:sz w:val="24"/>
          <w:szCs w:val="24"/>
          <w:highlight w:val="none"/>
        </w:rPr>
      </w:pPr>
      <w:bookmarkStart w:id="40" w:name="_Toc201407677"/>
      <w:bookmarkStart w:id="41" w:name="_Toc20861"/>
      <w:bookmarkStart w:id="42" w:name="_Toc168736740"/>
      <w:r>
        <w:rPr>
          <w:rFonts w:hint="eastAsia"/>
          <w:sz w:val="24"/>
          <w:szCs w:val="24"/>
          <w:highlight w:val="none"/>
        </w:rPr>
        <w:t>（一）公共基础课程</w:t>
      </w:r>
      <w:bookmarkEnd w:id="40"/>
      <w:bookmarkEnd w:id="41"/>
      <w:bookmarkEnd w:id="42"/>
    </w:p>
    <w:p w14:paraId="022E1630">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1</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公共必修课</w:t>
      </w:r>
    </w:p>
    <w:p w14:paraId="3D15EBC1">
      <w:pPr>
        <w:snapToGrid w:val="0"/>
        <w:spacing w:line="360" w:lineRule="auto"/>
        <w:ind w:firstLine="480" w:firstLineChars="200"/>
        <w:rPr>
          <w:rFonts w:hint="eastAsia" w:ascii="仿宋_GB2312" w:hAnsi="仿宋_GB2312" w:cs="仿宋_GB2312"/>
          <w:sz w:val="24"/>
          <w:szCs w:val="24"/>
          <w:highlight w:val="none"/>
        </w:rPr>
      </w:pPr>
      <w:r>
        <w:rPr>
          <w:rFonts w:hint="eastAsia" w:ascii="仿宋_GB2312" w:hAnsi="仿宋_GB2312" w:cs="仿宋_GB2312"/>
          <w:sz w:val="24"/>
          <w:szCs w:val="24"/>
          <w:highlight w:val="none"/>
        </w:rPr>
        <w:t>本专业开设《思想道德与法治》、《毛泽东思想和中国特色社会主义理论体系概论》、《习近平新时代中国特色社会主义思想概论》、《形势与政策》、《体育与健康》、《心理健康教育》、《职业规划与就业指导》、《综合英语》、《信息技术》、《创业基础》、《美育》、《大学生安全教育》、《国家安全教育》共13门公共基础必修课程。</w:t>
      </w:r>
    </w:p>
    <w:p w14:paraId="0D022D6D">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（1）习近平新时代中国特色社会主义思想概论（54学时、3学分）</w:t>
      </w:r>
    </w:p>
    <w:p w14:paraId="27955EB4">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285EEA65">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（2）毛泽东思想和中国特色社会主义理论体系概论（36学时、2学分）</w:t>
      </w:r>
    </w:p>
    <w:p w14:paraId="5C52F7B6">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75F5E4D8">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（3）思想道德与法治（54学时、3学分）</w:t>
      </w:r>
    </w:p>
    <w:p w14:paraId="7559299A">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789DF1F4">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（4）综合英语（56学时、4学分）</w:t>
      </w:r>
    </w:p>
    <w:p w14:paraId="5E5804F7">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1C36426">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（5）信息技术（64学时、4学分）</w:t>
      </w:r>
    </w:p>
    <w:p w14:paraId="6FE5FFA3">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658CF78A">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（6）体育与健康（136学时、8学分）</w:t>
      </w:r>
    </w:p>
    <w:p w14:paraId="6C01558D">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0A3BFC0F">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（7）职业规划与就业指导（28学时、2学分）</w:t>
      </w:r>
    </w:p>
    <w:p w14:paraId="3A418C6A">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职业规划与就业指导课程旨在帮助学生认识自我，了解职业，设定职业规划目标，并规划实施；做好求职准备，掌握简历撰写和面试技巧，找到合适的工作。</w:t>
      </w:r>
    </w:p>
    <w:p w14:paraId="7FB4847D">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（8）创业基础（36学时、2学分）</w:t>
      </w:r>
    </w:p>
    <w:p w14:paraId="4B4BA246">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创业基础旨在培养学生的创新思维，创业意识和创新创业能力。了解创办企业的流程和步骤，掌握企业经营的方法，具备创业知识和能力。</w:t>
      </w:r>
    </w:p>
    <w:p w14:paraId="2F9D42CE">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（9）心理健康教育（28学时、2学分）</w:t>
      </w:r>
    </w:p>
    <w:p w14:paraId="3F18977A">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心理健康教育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D77F777">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（10）形势与政策（48学时、1学分）</w:t>
      </w:r>
    </w:p>
    <w:p w14:paraId="6E5D6965">
      <w:pPr>
        <w:overflowPunct w:val="0"/>
        <w:adjustRightInd w:val="0"/>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A12761">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（11）美育（36课时、2学分）</w:t>
      </w:r>
    </w:p>
    <w:p w14:paraId="11706612">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本课程是以全面推进素质教育为宗旨,以审美体验为核心，结合具体的作品赏析与审美实践，有效促进学生审美能力的形成和发展。教学内容主要包括美学发展历史、中西方美学范畴、自然美、社会美、表演艺术美、影视艺术美、科学美等领域的美的发现、欣赏与领悟。通过引导学生主动参与审美实践，提升学生的良好的人文素养，为学生发现美、欣赏美乃至创造美奠定良好的基础，为培养身心和谐发展的当代大学生服务。</w:t>
      </w:r>
    </w:p>
    <w:p w14:paraId="20086C00">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（12）大学生安全教育（60学时、1学分）</w:t>
      </w:r>
    </w:p>
    <w:p w14:paraId="7E23FCF6">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本课程是一门集知识传授、技能培养为一体的所有专业必选公共基础课，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等。</w:t>
      </w:r>
    </w:p>
    <w:p w14:paraId="45AC55B7">
      <w:pPr>
        <w:overflowPunct w:val="0"/>
        <w:adjustRightInd w:val="0"/>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（13）国家安全教育(16学时、1学分)</w:t>
      </w:r>
    </w:p>
    <w:p w14:paraId="7F611A21">
      <w:pPr>
        <w:overflowPunct w:val="0"/>
        <w:adjustRightInd w:val="0"/>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4B345D39">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2.公共选修课</w:t>
      </w:r>
    </w:p>
    <w:p w14:paraId="210BCAC9">
      <w:pPr>
        <w:snapToGrid w:val="0"/>
        <w:spacing w:line="360" w:lineRule="auto"/>
        <w:ind w:firstLine="480" w:firstLineChars="200"/>
        <w:rPr>
          <w:highlight w:val="none"/>
        </w:rPr>
      </w:pPr>
      <w:r>
        <w:rPr>
          <w:rFonts w:hint="eastAsia" w:ascii="仿宋_GB2312" w:hAnsi="仿宋_GB2312" w:cs="仿宋_GB2312"/>
          <w:sz w:val="24"/>
          <w:szCs w:val="24"/>
          <w:highlight w:val="none"/>
        </w:rPr>
        <w:t>本专业开设《情绪管理》、《大学英语》、《工匠精神》、《应用文写作》共4门公共基础选修课程。</w:t>
      </w:r>
    </w:p>
    <w:p w14:paraId="35EFAC42">
      <w:pPr>
        <w:snapToGrid w:val="0"/>
        <w:spacing w:line="360" w:lineRule="auto"/>
        <w:ind w:firstLine="480" w:firstLineChars="200"/>
        <w:rPr>
          <w:rFonts w:ascii="仿宋_GB2312" w:hAnsi="仿宋_GB2312" w:cs="仿宋_GB2312"/>
          <w:sz w:val="24"/>
          <w:szCs w:val="24"/>
          <w:highlight w:val="none"/>
        </w:rPr>
      </w:pPr>
      <w:r>
        <w:rPr>
          <w:rFonts w:hint="eastAsia" w:ascii="仿宋_GB2312" w:hAnsi="仿宋_GB2312" w:cs="仿宋_GB2312"/>
          <w:sz w:val="24"/>
          <w:szCs w:val="24"/>
          <w:highlight w:val="none"/>
        </w:rPr>
        <w:t>（1）工匠精神（32学时、2学分）</w:t>
      </w:r>
    </w:p>
    <w:p w14:paraId="46B0297B">
      <w:pPr>
        <w:snapToGrid w:val="0"/>
        <w:spacing w:line="360" w:lineRule="auto"/>
        <w:ind w:firstLine="480" w:firstLineChars="200"/>
        <w:rPr>
          <w:rFonts w:hint="eastAsia" w:ascii="仿宋_GB2312" w:hAnsi="仿宋_GB2312" w:cs="仿宋_GB2312"/>
          <w:sz w:val="24"/>
          <w:szCs w:val="24"/>
          <w:highlight w:val="none"/>
        </w:rPr>
      </w:pPr>
      <w:r>
        <w:rPr>
          <w:rFonts w:hint="eastAsia" w:ascii="仿宋_GB2312" w:hAnsi="仿宋_GB2312" w:cs="仿宋_GB2312"/>
          <w:sz w:val="24"/>
          <w:szCs w:val="24"/>
          <w:highlight w:val="none"/>
        </w:rPr>
        <w:t>本课程的旨在明确什么是工匠精神，为什么需要工匠精神和怎样培养工匠精神。引导学生立志成为一名对国家、对社会有所贡献的优秀工匠、杰出工匠，乃至“大国工匠”。同时培养学生自主认知、正确感悟工匠精神的能力，使之具有理解、践行、弘扬工匠精神的积极情感和自觉意识，进而为全面提升职业素质奠定坚实的思想基础。</w:t>
      </w:r>
    </w:p>
    <w:p w14:paraId="5DF0E9A7">
      <w:pPr>
        <w:snapToGrid w:val="0"/>
        <w:spacing w:line="360" w:lineRule="auto"/>
        <w:ind w:firstLine="480" w:firstLineChars="200"/>
        <w:rPr>
          <w:rFonts w:hint="eastAsia" w:ascii="仿宋_GB2312" w:hAnsi="仿宋_GB2312" w:cs="仿宋_GB2312"/>
          <w:sz w:val="24"/>
          <w:szCs w:val="24"/>
          <w:highlight w:val="none"/>
        </w:rPr>
      </w:pPr>
      <w:r>
        <w:rPr>
          <w:rFonts w:hint="eastAsia" w:ascii="仿宋_GB2312" w:hAnsi="仿宋_GB2312" w:cs="仿宋_GB2312"/>
          <w:sz w:val="24"/>
          <w:szCs w:val="24"/>
          <w:highlight w:val="none"/>
        </w:rPr>
        <w:t>（1）情绪管理（32学时、2学分）</w:t>
      </w:r>
    </w:p>
    <w:p w14:paraId="5ACE0C51">
      <w:pPr>
        <w:snapToGrid w:val="0"/>
        <w:spacing w:line="360" w:lineRule="auto"/>
        <w:ind w:firstLine="480" w:firstLineChars="200"/>
        <w:rPr>
          <w:rFonts w:hint="eastAsia" w:ascii="仿宋_GB2312" w:hAnsi="仿宋_GB2312" w:cs="仿宋_GB2312"/>
          <w:sz w:val="24"/>
          <w:szCs w:val="24"/>
          <w:highlight w:val="none"/>
        </w:rPr>
      </w:pPr>
      <w:r>
        <w:rPr>
          <w:rFonts w:hint="eastAsia" w:ascii="仿宋_GB2312" w:hAnsi="仿宋_GB2312" w:cs="仿宋_GB2312"/>
          <w:sz w:val="24"/>
          <w:szCs w:val="24"/>
          <w:highlight w:val="none"/>
        </w:rPr>
        <w:t>本课程围绕“如何控制情绪”的主题展开，分别讲述了怎样认识情绪，情绪的功能，压力与情绪的关系，怎样提高情商增强韧性，如何克服消除焦虑和抑郁，以及怎样调动积极情绪获取快乐与幸福。课程中引入介绍了大量著名的心理学实验，并展示了缓解负面情绪的具体办法。旨在帮助学习者正确认识、体察自我情绪，科学、有效地控制情绪，获得积极的心理感受和体验。</w:t>
      </w:r>
    </w:p>
    <w:p w14:paraId="3F286EE8">
      <w:pPr>
        <w:snapToGrid w:val="0"/>
        <w:spacing w:line="360" w:lineRule="auto"/>
        <w:ind w:firstLine="480" w:firstLineChars="200"/>
        <w:rPr>
          <w:rFonts w:hint="eastAsia" w:ascii="仿宋_GB2312" w:hAnsi="仿宋_GB2312" w:cs="仿宋_GB2312"/>
          <w:sz w:val="24"/>
          <w:szCs w:val="24"/>
          <w:highlight w:val="none"/>
        </w:rPr>
      </w:pPr>
      <w:r>
        <w:rPr>
          <w:rFonts w:hint="eastAsia" w:ascii="仿宋_GB2312" w:hAnsi="仿宋_GB2312" w:cs="仿宋_GB2312"/>
          <w:sz w:val="24"/>
          <w:szCs w:val="24"/>
          <w:highlight w:val="none"/>
        </w:rPr>
        <w:t>（2）大学语文（32学时、2学分）</w:t>
      </w:r>
    </w:p>
    <w:p w14:paraId="430B4742">
      <w:pPr>
        <w:snapToGrid w:val="0"/>
        <w:spacing w:line="360" w:lineRule="auto"/>
        <w:ind w:firstLine="480" w:firstLineChars="200"/>
        <w:rPr>
          <w:rFonts w:hint="eastAsia" w:ascii="仿宋_GB2312" w:hAnsi="仿宋_GB2312" w:cs="仿宋_GB2312"/>
          <w:sz w:val="24"/>
          <w:szCs w:val="24"/>
          <w:highlight w:val="none"/>
        </w:rPr>
      </w:pPr>
      <w:r>
        <w:rPr>
          <w:rFonts w:hint="eastAsia" w:ascii="仿宋_GB2312" w:hAnsi="仿宋_GB2312" w:cs="仿宋_GB2312"/>
          <w:sz w:val="24"/>
          <w:szCs w:val="24"/>
          <w:highlight w:val="none"/>
        </w:rPr>
        <w:t>本课程通过对优秀汉语文学经典及代表性作品的研读、鉴赏、解析，培养学生热爱母语、热爱中国文化遗产的情感，建立在全球化文化语境中的多元文化观及认同本土文化的价值观。</w:t>
      </w:r>
    </w:p>
    <w:p w14:paraId="5C11CEBB">
      <w:pPr>
        <w:snapToGrid w:val="0"/>
        <w:spacing w:line="360" w:lineRule="auto"/>
        <w:ind w:firstLine="480" w:firstLineChars="200"/>
        <w:rPr>
          <w:rFonts w:hint="eastAsia" w:ascii="仿宋_GB2312" w:hAnsi="仿宋_GB2312" w:cs="仿宋_GB2312"/>
          <w:sz w:val="24"/>
          <w:szCs w:val="24"/>
          <w:highlight w:val="none"/>
        </w:rPr>
      </w:pPr>
      <w:r>
        <w:rPr>
          <w:rFonts w:hint="eastAsia" w:ascii="仿宋_GB2312" w:hAnsi="仿宋_GB2312" w:cs="仿宋_GB2312"/>
          <w:sz w:val="24"/>
          <w:szCs w:val="24"/>
          <w:highlight w:val="none"/>
        </w:rPr>
        <w:t>（3）工匠精神（32学时、2学分）</w:t>
      </w:r>
    </w:p>
    <w:p w14:paraId="667A518F">
      <w:pPr>
        <w:snapToGrid w:val="0"/>
        <w:spacing w:line="360" w:lineRule="auto"/>
        <w:ind w:firstLine="480" w:firstLineChars="200"/>
        <w:rPr>
          <w:rFonts w:hint="eastAsia" w:ascii="仿宋_GB2312" w:hAnsi="仿宋_GB2312" w:cs="仿宋_GB2312"/>
          <w:sz w:val="24"/>
          <w:szCs w:val="24"/>
          <w:highlight w:val="none"/>
        </w:rPr>
      </w:pPr>
      <w:r>
        <w:rPr>
          <w:rFonts w:hint="eastAsia" w:ascii="仿宋_GB2312" w:hAnsi="仿宋_GB2312" w:cs="仿宋_GB2312"/>
          <w:sz w:val="24"/>
          <w:szCs w:val="24"/>
          <w:highlight w:val="none"/>
        </w:rPr>
        <w:t>本课程的旨在明确什么是工匠精神，为什么需要工匠精神和怎样培养工匠精神。引导学生立志成为一名对国家、对社会有所贡献的优秀工匠、杰出工匠，乃至“大国工匠”。同时培养学生自主认知、正确感悟工匠精神的能力，具有理解、践行、弘扬工匠精神的积极情感和自觉意识，进而为全面提升职业素质奠定坚实的思想基础。</w:t>
      </w:r>
    </w:p>
    <w:p w14:paraId="482B76C0">
      <w:pPr>
        <w:snapToGrid w:val="0"/>
        <w:spacing w:line="360" w:lineRule="auto"/>
        <w:ind w:firstLine="480" w:firstLineChars="200"/>
        <w:rPr>
          <w:rFonts w:hint="eastAsia" w:ascii="仿宋_GB2312" w:hAnsi="仿宋_GB2312" w:cs="仿宋_GB2312"/>
          <w:sz w:val="24"/>
          <w:szCs w:val="24"/>
          <w:highlight w:val="none"/>
        </w:rPr>
      </w:pPr>
      <w:r>
        <w:rPr>
          <w:rFonts w:hint="eastAsia" w:ascii="仿宋_GB2312" w:hAnsi="仿宋_GB2312" w:cs="仿宋_GB2312"/>
          <w:sz w:val="24"/>
          <w:szCs w:val="24"/>
          <w:highlight w:val="none"/>
        </w:rPr>
        <w:t>（4）应用文写作（32学时、2学分）</w:t>
      </w:r>
    </w:p>
    <w:p w14:paraId="3B844715">
      <w:pPr>
        <w:snapToGrid w:val="0"/>
        <w:spacing w:line="360" w:lineRule="auto"/>
        <w:ind w:firstLine="480" w:firstLineChars="200"/>
        <w:rPr>
          <w:rFonts w:hint="eastAsia" w:ascii="仿宋_GB2312" w:hAnsi="仿宋_GB2312" w:cs="仿宋_GB2312"/>
          <w:sz w:val="24"/>
          <w:szCs w:val="24"/>
          <w:highlight w:val="none"/>
        </w:rPr>
      </w:pPr>
      <w:r>
        <w:rPr>
          <w:rFonts w:hint="eastAsia" w:ascii="仿宋_GB2312" w:hAnsi="仿宋_GB2312" w:cs="仿宋_GB2312"/>
          <w:sz w:val="24"/>
          <w:szCs w:val="24"/>
          <w:highlight w:val="none"/>
        </w:rPr>
        <w:t>应用文写作是国家机关、企事业单位、社会团体以及日常生活中办理公务和个人事务时不可缺少的交际工具，具有直接使用价值和惯用格式。本课讲解了行政公文、事务性文书以及行业专业应用文等主要应用文的写作方法及要求。</w:t>
      </w:r>
    </w:p>
    <w:p w14:paraId="44A1C831">
      <w:pPr>
        <w:pStyle w:val="3"/>
        <w:ind w:firstLine="482"/>
        <w:rPr>
          <w:sz w:val="24"/>
          <w:szCs w:val="24"/>
          <w:highlight w:val="none"/>
        </w:rPr>
      </w:pPr>
      <w:bookmarkStart w:id="43" w:name="_Toc201407678"/>
      <w:r>
        <w:rPr>
          <w:rFonts w:hint="eastAsia"/>
          <w:sz w:val="24"/>
          <w:szCs w:val="24"/>
          <w:highlight w:val="none"/>
        </w:rPr>
        <w:t>（二）专业（技能）课程</w:t>
      </w:r>
      <w:bookmarkEnd w:id="43"/>
    </w:p>
    <w:p w14:paraId="7BE26095">
      <w:pPr>
        <w:keepNext w:val="0"/>
        <w:keepLines w:val="0"/>
        <w:pageBreakBefore w:val="0"/>
        <w:widowControl w:val="0"/>
        <w:kinsoku/>
        <w:wordWrap/>
        <w:topLinePunct w:val="0"/>
        <w:autoSpaceDE/>
        <w:autoSpaceDN/>
        <w:bidi w:val="0"/>
        <w:snapToGrid w:val="0"/>
        <w:spacing w:line="360" w:lineRule="auto"/>
        <w:ind w:firstLine="482" w:firstLineChars="200"/>
        <w:textAlignment w:val="auto"/>
        <w:rPr>
          <w:rFonts w:ascii="仿宋_GB2312" w:hAnsi="仿宋_GB2312" w:cs="仿宋_GB2312"/>
          <w:b/>
          <w:sz w:val="24"/>
          <w:szCs w:val="24"/>
          <w:highlight w:val="none"/>
        </w:rPr>
      </w:pPr>
      <w:r>
        <w:rPr>
          <w:rFonts w:hint="eastAsia" w:ascii="仿宋_GB2312" w:hAnsi="仿宋_GB2312" w:cs="仿宋_GB2312"/>
          <w:b/>
          <w:sz w:val="24"/>
          <w:szCs w:val="24"/>
          <w:highlight w:val="none"/>
        </w:rPr>
        <w:t>1.专业基础课</w:t>
      </w:r>
    </w:p>
    <w:p w14:paraId="4169FA29">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本专业开设《智能网联汽车概论》、《新能源汽车概论》、《汽车构造》、《管理学基础》、《汽车机械基础》、《</w:t>
      </w:r>
      <w:bookmarkStart w:id="44" w:name="_Hlk170116423"/>
      <w:r>
        <w:rPr>
          <w:rFonts w:hint="eastAsia" w:ascii="仿宋_GB2312"/>
          <w:bCs/>
          <w:sz w:val="24"/>
          <w:szCs w:val="24"/>
          <w:highlight w:val="none"/>
        </w:rPr>
        <w:t>新能源汽车驱动电机及控制技术</w:t>
      </w:r>
      <w:bookmarkEnd w:id="44"/>
      <w:r>
        <w:rPr>
          <w:rFonts w:hint="eastAsia" w:ascii="仿宋_GB2312"/>
          <w:bCs/>
          <w:sz w:val="24"/>
          <w:szCs w:val="24"/>
          <w:highlight w:val="none"/>
        </w:rPr>
        <w:t>》共6专业基础课程。</w:t>
      </w:r>
    </w:p>
    <w:p w14:paraId="057E59CF">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（1）智能网联汽车概论(56学时、4学分)</w:t>
      </w:r>
    </w:p>
    <w:p w14:paraId="663C15E9">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通过本课程的学习，学生能了解智能网联汽车的发展趋势，掌握智能网联汽车的环境感知和识别系统的组成及功用，掌握智能网联汽车的导航与定位技术，掌握智能网联汽车的辅助驾驶系统的作用及组成，掌握智能汽车的通信技术的组成和原理，了解大数据技术和人工智能技术在智能网联汽车中的应用。能够依据国家标准及技术规定，完成智能网联汽车的基本维保，能够依据关键零部件的安装规范及技术要求，完成智能网联汽车的安装、检测。培养学生具备发现问题、分析问题、解决问题的能力，培养学生的沟通能力及团队协作精神，培养学生分析问题、解决问题的能力。为后续专业核心课程打下坚实基础。</w:t>
      </w:r>
    </w:p>
    <w:p w14:paraId="3A1C48D2">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（2）新能源汽车概论</w:t>
      </w:r>
      <w:bookmarkStart w:id="45" w:name="_Hlk169510295"/>
      <w:r>
        <w:rPr>
          <w:rFonts w:hint="eastAsia" w:ascii="仿宋_GB2312"/>
          <w:bCs/>
          <w:sz w:val="24"/>
          <w:szCs w:val="24"/>
          <w:highlight w:val="none"/>
        </w:rPr>
        <w:t>（56学时、4学分）</w:t>
      </w:r>
      <w:bookmarkEnd w:id="45"/>
    </w:p>
    <w:p w14:paraId="2DD1D166">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通过本课程学习，使学生掌握新能源汽车原理与构造知识；掌握新能源纯电动汽车电气结构基础知识，熟悉新能源混合动力汽车电气结构基础知识，新能源汽车电子故障分级与诊断知识。学生能及时了解和掌握新能源汽车电子技术的新发展、新成就，具有较好的解决问题的方法能力及制定完善工作计划的能力。</w:t>
      </w:r>
    </w:p>
    <w:p w14:paraId="1E888DBA">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（3）汽车构造(64学时、4学分)</w:t>
      </w:r>
    </w:p>
    <w:p w14:paraId="13C446E5">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本课程的教学目的在于通过本课程的学习，使学生掌握汽车发动机的总体结构与布置、汽油机工作原理、柴油机工作原理等知识；掌握曲柄连杆机构、配气机构、冷却系、润滑系、汽油机燃油喷射系统、柴油机燃油供给等系统的构造；掌握汽车底盘的总体结构与布置及工作原理等知识；掌握传动系统、行驶系统、转向系统和制动系统的构造与工作原理。</w:t>
      </w:r>
    </w:p>
    <w:p w14:paraId="6984DF9D">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（4）管理学基础(36学时、2学分)</w:t>
      </w:r>
    </w:p>
    <w:p w14:paraId="6F943989">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通过本课程的学习，使学生了解管理理论的形成过程，熟悉管理理论的基本框架，认识管理活动的基本职能，理解管理活动的基本规律，掌握管理活动的基本方法，了解管理学发展的新趋势及面临的挑战;具备一定的环境分析、组织设计、沟通协调等能力，并能运用所学的基本理论分析实践中遇到的问题。</w:t>
      </w:r>
    </w:p>
    <w:p w14:paraId="70228A12">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（5）汽车机械基础（72学时、4学分）</w:t>
      </w:r>
    </w:p>
    <w:p w14:paraId="327C9305">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通过本课程的学习，培养学生具备分析和掌握汽车常用机构、特点并能够正确判断、选用汽车常用机械机构能力；培养学生对汽车常见典型零部件，进行汽车零部件选用、组合拆装和调试能力；并熟悉了解汽车上常用的液压液力元件和典型液压工作回路。具备机械部分维修的基本方法和技能，培养学生的文明生产安全意识、环保意识、质量意识，培养学生分析问题和解决问题的能力。</w:t>
      </w:r>
    </w:p>
    <w:p w14:paraId="59FEF32C">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（6）新能源汽车驱动电机及控制技术(72学时、4学分)</w:t>
      </w:r>
    </w:p>
    <w:p w14:paraId="5949D25B">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通过本课程学习，使学生掌握依据安全操作规范要求，按照工艺文件对不同类型的电机/变频器的总成装配与调试。按照工艺文件进行不同类型的电机/变频器的整车装配与调试；按照工艺文件，使用专用工具进行混合动力变速器/传动桥的总成装配与调试；使用维修手册或电路图（装配图），利用检测设备对驱动电机及控制系统进行性能测试和故障诊断；掌握不同类型电机的结构、位置与控制策略；能够完成不同类型的电机/变频器的总成装配与调试；能够完成不同类型的电机/变频器的整车装配与调试；能够完成混合动力变速器/传动桥的总成装配与调试；能够利用检测设备对驱动电机及控制系统进行性能测试（静态/动态、不同工况/路况/负载等）和故障诊断。</w:t>
      </w:r>
    </w:p>
    <w:p w14:paraId="40B761FD">
      <w:pPr>
        <w:keepNext w:val="0"/>
        <w:keepLines w:val="0"/>
        <w:pageBreakBefore w:val="0"/>
        <w:widowControl w:val="0"/>
        <w:kinsoku/>
        <w:wordWrap/>
        <w:topLinePunct w:val="0"/>
        <w:autoSpaceDE/>
        <w:autoSpaceDN/>
        <w:bidi w:val="0"/>
        <w:snapToGrid w:val="0"/>
        <w:spacing w:line="360" w:lineRule="auto"/>
        <w:ind w:firstLine="482" w:firstLineChars="200"/>
        <w:textAlignment w:val="auto"/>
        <w:rPr>
          <w:rFonts w:hint="eastAsia" w:ascii="仿宋_GB2312" w:hAnsi="仿宋_GB2312" w:cs="仿宋_GB2312"/>
          <w:b/>
          <w:sz w:val="24"/>
          <w:szCs w:val="24"/>
          <w:highlight w:val="none"/>
        </w:rPr>
      </w:pPr>
      <w:r>
        <w:rPr>
          <w:rFonts w:hint="eastAsia" w:ascii="仿宋_GB2312" w:hAnsi="仿宋_GB2312" w:cs="仿宋_GB2312"/>
          <w:b/>
          <w:sz w:val="24"/>
          <w:szCs w:val="24"/>
          <w:highlight w:val="none"/>
        </w:rPr>
        <w:t>2.专业核心课</w:t>
      </w:r>
    </w:p>
    <w:p w14:paraId="2293B771">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本专业开设《新能源汽车底盘系统检修》、《汽车电气系统检修》、《新能源汽车动力蓄电池及管理系统检修》、《新能源汽车整车控制技术》、</w:t>
      </w:r>
      <w:r>
        <w:rPr>
          <w:rFonts w:hint="eastAsia" w:ascii="仿宋_GB2312"/>
          <w:bCs/>
          <w:sz w:val="28"/>
          <w:szCs w:val="28"/>
          <w:highlight w:val="none"/>
        </w:rPr>
        <w:t>《充电基础设施检测与维修》</w:t>
      </w:r>
      <w:r>
        <w:rPr>
          <w:rFonts w:hint="eastAsia" w:ascii="仿宋_GB2312"/>
          <w:bCs/>
          <w:sz w:val="24"/>
          <w:szCs w:val="24"/>
          <w:highlight w:val="none"/>
        </w:rPr>
        <w:t>、《新能源汽车检测与故障诊断技术》共6门专业核心课程。</w:t>
      </w:r>
    </w:p>
    <w:p w14:paraId="2F6C423B">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（1）新能源汽车底盘系统检修(56学时、4学分)</w:t>
      </w:r>
    </w:p>
    <w:p w14:paraId="024CB841">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bookmarkStart w:id="46" w:name="_Hlk137023283"/>
      <w:r>
        <w:rPr>
          <w:rFonts w:hint="eastAsia" w:ascii="仿宋_GB2312"/>
          <w:bCs/>
          <w:sz w:val="24"/>
          <w:szCs w:val="24"/>
          <w:highlight w:val="none"/>
        </w:rPr>
        <w:t>通过本课程的学习，使学生能够掌握 ABS、ESP等电控系统模块、传感器与执行器等元器件的基本组成和原理；掌握底盘悬架、制动、转向系统的装调与检测流程；掌握底盘电控系统电路的分析与检测的方法；掌握底盘转向系统常见故障检测与排查方法；掌握底盘制动及胎压监测系统的常见故障检测与排查方法。</w:t>
      </w:r>
    </w:p>
    <w:bookmarkEnd w:id="46"/>
    <w:p w14:paraId="63D3F96B">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bookmarkStart w:id="47" w:name="_Hlk137023103"/>
      <w:r>
        <w:rPr>
          <w:rFonts w:hint="eastAsia" w:ascii="仿宋_GB2312"/>
          <w:bCs/>
          <w:sz w:val="24"/>
          <w:szCs w:val="24"/>
          <w:highlight w:val="none"/>
        </w:rPr>
        <w:t>（2）汽车电气系统检修(64学时、4学分)</w:t>
      </w:r>
    </w:p>
    <w:p w14:paraId="119D28B3">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通过本课程的学习，使学生能够熟掌握纯电动汽车维护与保养基础知识、纯电动汽车动力系统的维护与保养、纯电动汽车驱动系统的维护与保养、纯电动汽车悬挂转向制动系统的维护与保养以及纯电动汽车空调系统的维护与保养5大项目等技能。掌握汽车电气系统的基本结构和工作原理；熟练使用各种电气系统的检测仪器和仪表；能正确检修汽车蓄电池、照明与信号系统、仪表报警系统、辅助电气系统、安全系统的检修。</w:t>
      </w:r>
    </w:p>
    <w:p w14:paraId="31A4CBEC">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（3）新能源汽车动力蓄电池及管理系统检修(72学时、4学分)</w:t>
      </w:r>
    </w:p>
    <w:p w14:paraId="7F2387D2">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通过本课程的学习，学生能够掌握电池组的连接方式和常用参数；动力电池组及管理系统各组件安装位置和功能；动力电池组漏电检测；电动机械式接触器的作用和电源管理系统状态监测；动力电池组管理系统组件工作原理与外部低压连接接口的定义；动力电池组装；电池组和单体电池检测和均衡；能进行力电池组电池模块充放电与容量均衡；动力电池组热管理系统；上电控制逻辑和检测了解动力电池的作用，掌握动力蓄电池及储能装置的工作原理，理解燃料电池的工作原理，掌握动力电池的管理与维护，学会常用工具与量具的使用。</w:t>
      </w:r>
    </w:p>
    <w:p w14:paraId="0990602B">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（4）新能源汽车整车控制技术(68学时、4学分)</w:t>
      </w:r>
    </w:p>
    <w:p w14:paraId="5FA3384E">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bookmarkStart w:id="94" w:name="_GoBack"/>
      <w:bookmarkEnd w:id="94"/>
      <w:r>
        <w:rPr>
          <w:rFonts w:hint="eastAsia" w:ascii="仿宋_GB2312"/>
          <w:bCs/>
          <w:sz w:val="24"/>
          <w:szCs w:val="24"/>
          <w:highlight w:val="none"/>
        </w:rPr>
        <w:t>通过本课程的学习，使学生能够掌握新能源汽车高压电器使用过程中的个人、设备及场地安全防护；掌握新能源汽车热管理系统</w:t>
      </w:r>
      <w:r>
        <w:rPr>
          <w:rFonts w:hint="eastAsia" w:ascii="仿宋_GB2312"/>
          <w:bCs/>
          <w:sz w:val="24"/>
          <w:szCs w:val="24"/>
          <w:highlight w:val="none"/>
        </w:rPr>
        <w:tab/>
      </w:r>
      <w:r>
        <w:rPr>
          <w:rFonts w:hint="eastAsia" w:ascii="仿宋_GB2312"/>
          <w:bCs/>
          <w:sz w:val="24"/>
          <w:szCs w:val="24"/>
          <w:highlight w:val="none"/>
        </w:rPr>
        <w:t>(含电动空调)结构原理及装调检测方法；掌握车载充电设备结构原理及装调检测方法；掌握DC/DC，DC/AC，高压配电盒等设备的结构原理及装调检测方法。培养学生“一次就把事情做好”的工匠精神和精益求精的态度。</w:t>
      </w:r>
    </w:p>
    <w:bookmarkEnd w:id="47"/>
    <w:p w14:paraId="3C096D0A">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（5）《充电基础设施检测与维修》(6</w:t>
      </w:r>
      <w:r>
        <w:rPr>
          <w:rFonts w:hint="eastAsia" w:ascii="仿宋_GB2312"/>
          <w:bCs/>
          <w:sz w:val="24"/>
          <w:szCs w:val="24"/>
          <w:highlight w:val="none"/>
          <w:lang w:val="en-US" w:eastAsia="zh-CN"/>
        </w:rPr>
        <w:t>8</w:t>
      </w:r>
      <w:r>
        <w:rPr>
          <w:rFonts w:hint="eastAsia" w:ascii="仿宋_GB2312"/>
          <w:bCs/>
          <w:sz w:val="24"/>
          <w:szCs w:val="24"/>
          <w:highlight w:val="none"/>
        </w:rPr>
        <w:t>学时、4学分)</w:t>
      </w:r>
    </w:p>
    <w:p w14:paraId="329CED5E">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bookmarkStart w:id="48" w:name="_Hlk137023494"/>
      <w:r>
        <w:rPr>
          <w:rFonts w:hint="eastAsia" w:ascii="仿宋_GB2312"/>
          <w:bCs/>
          <w:sz w:val="24"/>
          <w:szCs w:val="24"/>
          <w:highlight w:val="none"/>
        </w:rPr>
        <w:t>通过本课程的学习，</w:t>
      </w:r>
      <w:bookmarkEnd w:id="48"/>
      <w:r>
        <w:rPr>
          <w:rFonts w:hint="eastAsia" w:ascii="仿宋_GB2312"/>
          <w:bCs/>
          <w:sz w:val="24"/>
          <w:szCs w:val="24"/>
          <w:highlight w:val="none"/>
        </w:rPr>
        <w:t>使学生能掌握充电设施的基础构造与运行原理，熟练完成设备的安装调试</w:t>
      </w:r>
      <w:r>
        <w:rPr>
          <w:rFonts w:hint="eastAsia" w:ascii="仿宋_GB2312"/>
          <w:bCs/>
          <w:sz w:val="24"/>
          <w:szCs w:val="24"/>
          <w:highlight w:val="none"/>
          <w:lang w:eastAsia="zh-CN"/>
        </w:rPr>
        <w:t>、</w:t>
      </w:r>
      <w:r>
        <w:rPr>
          <w:rFonts w:hint="eastAsia" w:ascii="仿宋_GB2312"/>
          <w:bCs/>
          <w:sz w:val="24"/>
          <w:szCs w:val="24"/>
          <w:highlight w:val="none"/>
        </w:rPr>
        <w:t>参数配置；掌握巡检要点及性能检测方法，具备对常见故障进行精准诊断与快速维修的能力；熟知充电设施安全操作规范与应急处理流程</w:t>
      </w:r>
      <w:r>
        <w:rPr>
          <w:rFonts w:hint="eastAsia" w:ascii="仿宋_GB2312"/>
          <w:bCs/>
          <w:sz w:val="24"/>
          <w:szCs w:val="24"/>
          <w:highlight w:val="none"/>
          <w:lang w:eastAsia="zh-CN"/>
        </w:rPr>
        <w:t>。</w:t>
      </w:r>
      <w:r>
        <w:rPr>
          <w:rFonts w:hint="eastAsia" w:ascii="仿宋_GB2312"/>
          <w:bCs/>
          <w:sz w:val="24"/>
          <w:szCs w:val="24"/>
          <w:highlight w:val="none"/>
        </w:rPr>
        <w:t>最终培养系统化</w:t>
      </w:r>
      <w:r>
        <w:rPr>
          <w:rFonts w:hint="eastAsia" w:ascii="仿宋_GB2312"/>
          <w:bCs/>
          <w:sz w:val="24"/>
          <w:szCs w:val="24"/>
          <w:highlight w:val="none"/>
          <w:lang w:val="en-US" w:eastAsia="zh-CN"/>
        </w:rPr>
        <w:t>运维</w:t>
      </w:r>
      <w:r>
        <w:rPr>
          <w:rFonts w:hint="eastAsia" w:ascii="仿宋_GB2312"/>
          <w:bCs/>
          <w:sz w:val="24"/>
          <w:szCs w:val="24"/>
          <w:highlight w:val="none"/>
        </w:rPr>
        <w:t>的专业能力，保障设施安全稳定运行。</w:t>
      </w:r>
    </w:p>
    <w:p w14:paraId="762F2D85">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r>
        <w:rPr>
          <w:rFonts w:hint="eastAsia" w:ascii="仿宋_GB2312"/>
          <w:bCs/>
          <w:sz w:val="24"/>
          <w:szCs w:val="24"/>
          <w:highlight w:val="none"/>
        </w:rPr>
        <w:t>（6）新能源汽车检测与故障诊断技术(68学时、4学分)</w:t>
      </w:r>
    </w:p>
    <w:p w14:paraId="4E0868CB">
      <w:pPr>
        <w:keepNext w:val="0"/>
        <w:keepLines w:val="0"/>
        <w:pageBreakBefore w:val="0"/>
        <w:widowControl w:val="0"/>
        <w:kinsoku/>
        <w:wordWrap/>
        <w:overflowPunct w:val="0"/>
        <w:topLinePunct w:val="0"/>
        <w:autoSpaceDE/>
        <w:autoSpaceDN/>
        <w:bidi w:val="0"/>
        <w:adjustRightInd w:val="0"/>
        <w:snapToGrid w:val="0"/>
        <w:spacing w:line="360" w:lineRule="auto"/>
        <w:ind w:firstLine="480" w:firstLineChars="200"/>
        <w:textAlignment w:val="auto"/>
        <w:rPr>
          <w:rFonts w:hint="eastAsia" w:ascii="仿宋_GB2312"/>
          <w:bCs/>
          <w:sz w:val="24"/>
          <w:szCs w:val="24"/>
          <w:highlight w:val="none"/>
        </w:rPr>
      </w:pPr>
      <w:bookmarkStart w:id="49" w:name="_Hlk137023600"/>
      <w:r>
        <w:rPr>
          <w:rFonts w:hint="eastAsia" w:ascii="仿宋_GB2312"/>
          <w:bCs/>
          <w:sz w:val="24"/>
          <w:szCs w:val="24"/>
          <w:highlight w:val="none"/>
        </w:rPr>
        <w:t>通过本课程的学习，使学生能够遵循车辆维护工作安全规范，制定维护工作计划，能正确选择检测设备和工具，按照正确规范进行操作，保证汽车维护质量；掌握车辆维护接待、车辆油液的维护与保养、车轮的维护与保养、汽车电器的维护与保养、汽车底盘的维护与保养以及整车的维护与保养，学会常用工具与量具的使用。</w:t>
      </w:r>
    </w:p>
    <w:bookmarkEnd w:id="49"/>
    <w:p w14:paraId="4A07A68D">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思政元素：</w:t>
      </w:r>
      <w:bookmarkStart w:id="50" w:name="_Hlk78798413"/>
      <w:r>
        <w:rPr>
          <w:rFonts w:hint="eastAsia" w:ascii="仿宋_GB2312"/>
          <w:sz w:val="24"/>
          <w:szCs w:val="24"/>
          <w:highlight w:val="none"/>
        </w:rPr>
        <w:t>培养学生对商业历史、文化的崇敬之心；培养学生重视亲情、心怀天下的家国情怀和爱国主义精神；培养学生诚实守信的契约精神和法律意识；培养学生勇于开拓和变革的创新意识；培养学生严谨，爱岗敬业的职业道德；培养学生回归初心，关注顾客，以人为本的精神。</w:t>
      </w:r>
      <w:bookmarkEnd w:id="50"/>
    </w:p>
    <w:p w14:paraId="367F208A">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3.专业选修课</w:t>
      </w:r>
    </w:p>
    <w:p w14:paraId="63B2037B">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本专业开设《职场形象设计》、《汽车文化》、《汽车使用与维护》、《汽车销售顾问实战》、《职场初级实战》、《商业文化与素养》、《品牌管理》、《服务营销》、《汽车修复涂装技术》、《二手车鉴定评估与交易》、《汽车服务顾问实战》、《职场进阶实战》共12门专业选修课程。</w:t>
      </w:r>
    </w:p>
    <w:p w14:paraId="5DAA5313">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（1）职场形象设计(36学时、2学分)</w:t>
      </w:r>
    </w:p>
    <w:p w14:paraId="4586A1D9">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使学生掌握形象设计和礼仪基本知识，加强学生的文化素质和思想修养，使学生成为一个形象得体、气质高雅的知礼、守礼、行礼的高素质人才，使学生走上工作岗位后在社交活动中更好地运用礼仪，使学生掌握职业仪容美、仪态举止美、着装美、语言谈吐美的途径与方法，基本的形象设计的技能和技巧，学会根据自身条件和不同的职业环境，设计最佳职业形象。</w:t>
      </w:r>
    </w:p>
    <w:p w14:paraId="5D636005">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（2）汽车文化(32学时、2学分)</w:t>
      </w:r>
    </w:p>
    <w:p w14:paraId="19067F2F">
      <w:pPr>
        <w:overflowPunct w:val="0"/>
        <w:adjustRightInd w:val="0"/>
        <w:snapToGrid w:val="0"/>
        <w:spacing w:line="360" w:lineRule="auto"/>
        <w:ind w:firstLine="480" w:firstLineChars="200"/>
        <w:rPr>
          <w:rFonts w:hint="eastAsia" w:ascii="仿宋_GB2312"/>
          <w:sz w:val="24"/>
          <w:szCs w:val="24"/>
          <w:highlight w:val="none"/>
        </w:rPr>
      </w:pPr>
      <w:bookmarkStart w:id="51" w:name="_Hlk137023253"/>
      <w:r>
        <w:rPr>
          <w:rFonts w:hint="eastAsia" w:ascii="仿宋_GB2312"/>
          <w:sz w:val="24"/>
          <w:szCs w:val="24"/>
          <w:highlight w:val="none"/>
        </w:rPr>
        <w:t>本课程使学生掌握汽车发展历程、汽车的分类与性能、汽车基本构造、汽车品牌、汽车运动、安全行车知识等知识，对汽车的设计、试验与生产过程以及汽车展览会、汽车博物馆、汽车名人、汽车网络文化。了解到汽车和汽车工业的过去，现在和未来；了解汽车的基础知识，汽车品牌对汽车文化所起到的直接作用，现代汽车技术的发展如何体现了人们对生活品质的要求。</w:t>
      </w:r>
    </w:p>
    <w:p w14:paraId="4143C786">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（3）汽车使用与维护(72学时、4学分)</w:t>
      </w:r>
    </w:p>
    <w:p w14:paraId="2C17B83C">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本课程立足于实际能力培养，紧紧围绕岗位典型工作任务选择课程内容，以更为有效的培养学生实际工作的能力，提高课程内容的实用性与工作任务的相关性。包括汽车维护基础、车间安全、汽车运行材料的合理使用、汽车保养作业中的基本功能检查、底盘维护、轮胎和制动器的检查与制动液的更换和排气、发动机维护、汽车保养综合训练。本课程以丰田、奥迪、迈腾等车型为例，向学生展示了规范的汽车保养作业，实现了理论与实践的一体化，有利于培养学生综合应用知识技能的能力。</w:t>
      </w:r>
    </w:p>
    <w:p w14:paraId="08E9CD29">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（4）汽车销售顾问实战(72学时、4学分)</w:t>
      </w:r>
    </w:p>
    <w:p w14:paraId="6841916B">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通过本课程的学习，使得学生根据汽车展厅销售流程要求，正确使用销售工具，合理运用销售技巧完成展厅整车销售工作，并达到顾客满意度高的要求；按企业规范流程做好汽车客户服务工作，具备客户关系管理的能力；具备市场分析能力，能组织策划常见的汽车市场营销活动，具备一定的市场推广能力。</w:t>
      </w:r>
    </w:p>
    <w:p w14:paraId="0BEFDF2A">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（5）职场初级实战(108学时、6学分)</w:t>
      </w:r>
    </w:p>
    <w:p w14:paraId="321F2C06">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 xml:space="preserve">本课程是校企合作开发的实战课程，根据校企合作企业的需求，共同设置实战任务，提升学生的专业技能初级应用的能力。选择该课程可以替代本学期的其他选修课程。  </w:t>
      </w:r>
    </w:p>
    <w:p w14:paraId="49F775D3">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（6）商业文化与素养（34学时、2学分）</w:t>
      </w:r>
    </w:p>
    <w:p w14:paraId="4766DC8D">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通过教学使学生熟悉和了解富有民族特色的商业文化。课程通过商史、商路、商帮、商号、商人、商法、商言、商仪、商礼、商道等内容，梳理商业文化历史脉络，探寻商业文化发展之源，总结商业文化积淀精髓，传承商业文化优秀精神，培养学生对传统商业文化的理解和热爱，对职业行为和职业态度的认知和认同，提升文化品位和审美情操，提高职业素养与文化修养，达到律己与敬人、知识与商务素养的和谐统一。</w:t>
      </w:r>
    </w:p>
    <w:p w14:paraId="191B7737">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（7）品牌管理（34学时、2学分）</w:t>
      </w:r>
    </w:p>
    <w:p w14:paraId="0731C57E">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通过本课程的学习，使学生掌握新消费时代，公司品牌管理的相关内容，包括新品牌观概述、新消费时代的品牌建立、新消费时代品牌营销的运营，具备重塑品牌观念、品牌定位、品牌内容、发展新品类、初创公司建立品牌、品牌营销模型、市场细分、建立自媒体等基本技能，帮助企业提升品牌价值，获得市场竞争优势。也可以围绕着新消费时代的品牌管理这一思路，致力于帮助企业解决品牌不强势的问题，让企业能突破瓶颈，找到运营品牌的新思路。</w:t>
      </w:r>
    </w:p>
    <w:bookmarkEnd w:id="51"/>
    <w:p w14:paraId="14F47171">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（8）服务营销(34学时、2学分)</w:t>
      </w:r>
    </w:p>
    <w:p w14:paraId="20FA86CB">
      <w:pPr>
        <w:overflowPunct w:val="0"/>
        <w:adjustRightInd w:val="0"/>
        <w:snapToGrid w:val="0"/>
        <w:spacing w:line="360" w:lineRule="auto"/>
        <w:ind w:firstLine="480" w:firstLineChars="200"/>
        <w:rPr>
          <w:rFonts w:hint="eastAsia" w:ascii="仿宋_GB2312"/>
          <w:sz w:val="24"/>
          <w:szCs w:val="24"/>
          <w:highlight w:val="none"/>
        </w:rPr>
      </w:pPr>
      <w:bookmarkStart w:id="52" w:name="_Hlk137023442"/>
      <w:r>
        <w:rPr>
          <w:rFonts w:hint="eastAsia" w:ascii="仿宋_GB2312"/>
          <w:sz w:val="24"/>
          <w:szCs w:val="24"/>
          <w:highlight w:val="none"/>
        </w:rPr>
        <w:t>通</w:t>
      </w:r>
      <w:bookmarkEnd w:id="52"/>
      <w:r>
        <w:rPr>
          <w:rFonts w:hint="eastAsia" w:ascii="仿宋_GB2312"/>
          <w:sz w:val="24"/>
          <w:szCs w:val="24"/>
          <w:highlight w:val="none"/>
        </w:rPr>
        <w:t>通过教学使学生掌握服务营销的基本内涵、有关概念、研究对象和研究范畴；区分服务营销与市场营销在内容和营销组合要素上的不同、掌握服务营销组合的基本要素；了解服务消费行为特点，树立正确的服务营销理念；理解服务质量的概念及构成要素、服务质量的测定、服务质量的管理；在理论学习的基础上，能够联系实际，为从事服务业营销活动或参与企业营销服务活动奠定基础。</w:t>
      </w:r>
    </w:p>
    <w:p w14:paraId="04D31C5C">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（9）汽车修复涂装技术(34学时、2学分)</w:t>
      </w:r>
    </w:p>
    <w:p w14:paraId="252E5AF0">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本课程的主要任务是进行汽车车身修复及检修认知。其中包括汽车车身结构的认识；汽车车身修复设备的认识；汽车车身修复方案的制定；汽车车身修复过程安全防护知识的了解等。通过课程的学习，学生应树立良好的汽车专业素质、服务意识、安全意识，并逐步培养学生分析问题和解决问题的能力，能利用检测诊断设备对汽车车身损伤进行诊断和修复，使学生能够将理论与实践相结合。</w:t>
      </w:r>
    </w:p>
    <w:p w14:paraId="2F3B268B">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（10）二手车鉴定评估与交易(68学时、4学分)</w:t>
      </w:r>
    </w:p>
    <w:p w14:paraId="792EAAA2">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通过本课程的学习，学生能够掌握汽车的评估基本知识、二手车技术状况的鉴定、二手车评估的基本方法、汽车碰撞与风险评估和二手车交易等。让学生在职业实践活动的基础上掌握知识，增强课程内容与职业岗位能力要求的相关性，提高学生的实践能力。</w:t>
      </w:r>
    </w:p>
    <w:p w14:paraId="030D8A87">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（11）汽车服务顾问实战(68学时、4学分)</w:t>
      </w:r>
    </w:p>
    <w:p w14:paraId="1FDA4A60">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了解汽车服务顾问工作流程，使学生系统掌握汽车维修预约、维修接待、车辆预检、交车结算、跟踪回访、处理投诉、客户关怀等技能技巧；具备车辆环检、故障判断与故障描述等能力，服务于企业维修接待一线工作。使学生熟识汽车服务涵盖的领域、汽车服务的方式与方法、汽车服务行业规范及汽车服务市场的运营模式。着重培养和提高汽车服务行业管理人员的职业能力；注重内容的实用性、知识体系的系统性。</w:t>
      </w:r>
    </w:p>
    <w:p w14:paraId="7B420254">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（12）职场进阶实战(136学时、8学分)</w:t>
      </w:r>
    </w:p>
    <w:p w14:paraId="394D7751">
      <w:pPr>
        <w:overflowPunct w:val="0"/>
        <w:adjustRightInd w:val="0"/>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本课程是校企合作开发的进阶实战课程，根据校企合作企业的需求，共同设置实战任务，提升学生的专业技能进阶实战应用的能力。选择该课程可以替代本学期的其他选修课程。</w:t>
      </w:r>
    </w:p>
    <w:p w14:paraId="453E4400">
      <w:pPr>
        <w:pStyle w:val="3"/>
        <w:ind w:firstLine="482"/>
        <w:rPr>
          <w:rFonts w:hint="eastAsia" w:ascii="仿宋_GB2312" w:hAnsi="仿宋_GB2312" w:cs="仿宋_GB2312"/>
          <w:b/>
          <w:bCs/>
          <w:sz w:val="24"/>
          <w:szCs w:val="24"/>
          <w:highlight w:val="none"/>
        </w:rPr>
      </w:pPr>
      <w:bookmarkStart w:id="53" w:name="_Toc201407679"/>
      <w:bookmarkStart w:id="54" w:name="_Toc29720"/>
      <w:bookmarkStart w:id="55" w:name="_Toc168736742"/>
      <w:r>
        <w:rPr>
          <w:rFonts w:hint="eastAsia"/>
          <w:sz w:val="24"/>
          <w:szCs w:val="24"/>
          <w:highlight w:val="none"/>
        </w:rPr>
        <w:t>（三）实践性教学环节</w:t>
      </w:r>
      <w:bookmarkEnd w:id="53"/>
      <w:bookmarkEnd w:id="54"/>
      <w:bookmarkEnd w:id="55"/>
    </w:p>
    <w:p w14:paraId="738496D0">
      <w:pPr>
        <w:overflowPunct w:val="0"/>
        <w:adjustRightInd w:val="0"/>
        <w:snapToGrid w:val="0"/>
        <w:spacing w:before="156" w:beforeLines="50" w:after="156" w:afterLines="50" w:line="360" w:lineRule="auto"/>
        <w:jc w:val="center"/>
        <w:rPr>
          <w:highlight w:val="none"/>
        </w:rPr>
      </w:pPr>
      <w:r>
        <w:rPr>
          <w:rFonts w:hint="eastAsia" w:ascii="仿宋_GB2312" w:hAnsi="仿宋_GB2312" w:cs="仿宋_GB2312"/>
          <w:b/>
          <w:bCs/>
          <w:sz w:val="24"/>
          <w:szCs w:val="24"/>
          <w:highlight w:val="none"/>
        </w:rPr>
        <w:t>表四 实践教学环节设计</w:t>
      </w:r>
    </w:p>
    <w:tbl>
      <w:tblPr>
        <w:tblStyle w:val="15"/>
        <w:tblW w:w="53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6"/>
        <w:gridCol w:w="2621"/>
        <w:gridCol w:w="1261"/>
        <w:gridCol w:w="749"/>
        <w:gridCol w:w="749"/>
        <w:gridCol w:w="1499"/>
      </w:tblGrid>
      <w:tr w14:paraId="52E5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1" w:type="pct"/>
            <w:vAlign w:val="center"/>
          </w:tcPr>
          <w:p w14:paraId="4C53374E">
            <w:pPr>
              <w:widowControl/>
              <w:spacing w:before="100" w:beforeAutospacing="1" w:after="100" w:afterAutospacing="1"/>
              <w:jc w:val="center"/>
              <w:rPr>
                <w:rFonts w:hint="eastAsia" w:ascii="仿宋_GB2312" w:hAnsi="仿宋_GB2312" w:cs="仿宋_GB2312"/>
                <w:b/>
                <w:bCs/>
                <w:kern w:val="0"/>
                <w:sz w:val="21"/>
                <w:szCs w:val="21"/>
                <w:highlight w:val="none"/>
              </w:rPr>
            </w:pPr>
            <w:bookmarkStart w:id="56" w:name="_Hlk139025189"/>
            <w:r>
              <w:rPr>
                <w:rFonts w:hint="eastAsia" w:ascii="仿宋_GB2312" w:hAnsi="仿宋_GB2312" w:cs="仿宋_GB2312"/>
                <w:b/>
                <w:bCs/>
                <w:kern w:val="0"/>
                <w:sz w:val="21"/>
                <w:szCs w:val="21"/>
                <w:highlight w:val="none"/>
              </w:rPr>
              <w:t>专业实践性教学环节</w:t>
            </w:r>
          </w:p>
        </w:tc>
        <w:tc>
          <w:tcPr>
            <w:tcW w:w="1446" w:type="pct"/>
            <w:vAlign w:val="center"/>
          </w:tcPr>
          <w:p w14:paraId="59AC6E3E">
            <w:pPr>
              <w:widowControl/>
              <w:spacing w:before="100" w:beforeAutospacing="1" w:after="100" w:afterAutospacing="1"/>
              <w:jc w:val="center"/>
              <w:rPr>
                <w:rFonts w:hint="eastAsia"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实践教学名称</w:t>
            </w:r>
          </w:p>
        </w:tc>
        <w:tc>
          <w:tcPr>
            <w:tcW w:w="696" w:type="pct"/>
            <w:vAlign w:val="center"/>
          </w:tcPr>
          <w:p w14:paraId="366FAAB9">
            <w:pPr>
              <w:widowControl/>
              <w:spacing w:before="100" w:beforeAutospacing="1" w:after="100" w:afterAutospacing="1"/>
              <w:jc w:val="center"/>
              <w:rPr>
                <w:rFonts w:hint="eastAsia"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开设学期</w:t>
            </w:r>
          </w:p>
        </w:tc>
        <w:tc>
          <w:tcPr>
            <w:tcW w:w="413" w:type="pct"/>
            <w:vAlign w:val="center"/>
          </w:tcPr>
          <w:p w14:paraId="7AA2A34B">
            <w:pPr>
              <w:widowControl/>
              <w:spacing w:before="100" w:beforeAutospacing="1" w:after="100" w:afterAutospacing="1"/>
              <w:jc w:val="center"/>
              <w:rPr>
                <w:rFonts w:hint="eastAsia"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学分</w:t>
            </w:r>
          </w:p>
        </w:tc>
        <w:tc>
          <w:tcPr>
            <w:tcW w:w="413" w:type="pct"/>
            <w:vAlign w:val="center"/>
          </w:tcPr>
          <w:p w14:paraId="289BCC8D">
            <w:pPr>
              <w:widowControl/>
              <w:spacing w:before="100" w:beforeAutospacing="1" w:after="100" w:afterAutospacing="1"/>
              <w:jc w:val="center"/>
              <w:rPr>
                <w:rFonts w:hint="eastAsia"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学时</w:t>
            </w:r>
          </w:p>
        </w:tc>
        <w:tc>
          <w:tcPr>
            <w:tcW w:w="827" w:type="pct"/>
            <w:vAlign w:val="center"/>
          </w:tcPr>
          <w:p w14:paraId="33BE039D">
            <w:pPr>
              <w:widowControl/>
              <w:spacing w:before="100" w:beforeAutospacing="1" w:after="100" w:afterAutospacing="1"/>
              <w:jc w:val="center"/>
              <w:rPr>
                <w:rFonts w:hint="eastAsia" w:ascii="仿宋_GB2312" w:hAnsi="仿宋_GB2312" w:cs="仿宋_GB2312"/>
                <w:b/>
                <w:bCs/>
                <w:kern w:val="0"/>
                <w:sz w:val="21"/>
                <w:szCs w:val="21"/>
                <w:highlight w:val="none"/>
              </w:rPr>
            </w:pPr>
            <w:r>
              <w:rPr>
                <w:rFonts w:hint="eastAsia" w:ascii="仿宋_GB2312" w:hAnsi="仿宋_GB2312" w:cs="仿宋_GB2312"/>
                <w:b/>
                <w:bCs/>
                <w:kern w:val="0"/>
                <w:sz w:val="21"/>
                <w:szCs w:val="21"/>
                <w:highlight w:val="none"/>
              </w:rPr>
              <w:t>场地</w:t>
            </w:r>
          </w:p>
        </w:tc>
      </w:tr>
      <w:tr w14:paraId="2AF1C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1" w:type="pct"/>
            <w:vMerge w:val="restart"/>
            <w:vAlign w:val="center"/>
          </w:tcPr>
          <w:p w14:paraId="3D1AB9EF">
            <w:pPr>
              <w:pStyle w:val="5"/>
              <w:spacing w:before="156"/>
              <w:jc w:val="center"/>
              <w:rPr>
                <w:highlight w:val="none"/>
              </w:rPr>
            </w:pPr>
            <w:r>
              <w:rPr>
                <w:rFonts w:hint="eastAsia"/>
                <w:b/>
                <w:bCs/>
                <w:highlight w:val="none"/>
              </w:rPr>
              <w:t>校内综合性实训</w:t>
            </w:r>
          </w:p>
        </w:tc>
        <w:tc>
          <w:tcPr>
            <w:tcW w:w="1446" w:type="pct"/>
            <w:vAlign w:val="center"/>
          </w:tcPr>
          <w:p w14:paraId="437A1AD9">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职业认知实训</w:t>
            </w:r>
          </w:p>
        </w:tc>
        <w:tc>
          <w:tcPr>
            <w:tcW w:w="696" w:type="pct"/>
            <w:vAlign w:val="center"/>
          </w:tcPr>
          <w:p w14:paraId="745DD042">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1-2</w:t>
            </w:r>
          </w:p>
        </w:tc>
        <w:tc>
          <w:tcPr>
            <w:tcW w:w="413" w:type="pct"/>
            <w:vAlign w:val="center"/>
          </w:tcPr>
          <w:p w14:paraId="42C1EADB">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w:t>
            </w:r>
          </w:p>
        </w:tc>
        <w:tc>
          <w:tcPr>
            <w:tcW w:w="413" w:type="pct"/>
            <w:vAlign w:val="center"/>
          </w:tcPr>
          <w:p w14:paraId="7DD51EB3">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w:t>
            </w:r>
          </w:p>
        </w:tc>
        <w:tc>
          <w:tcPr>
            <w:tcW w:w="827" w:type="pct"/>
            <w:vAlign w:val="center"/>
          </w:tcPr>
          <w:p w14:paraId="2E7A7EA1">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lang w:val="en-US" w:eastAsia="zh-CN"/>
              </w:rPr>
              <w:t>订单</w:t>
            </w:r>
            <w:r>
              <w:rPr>
                <w:rFonts w:hint="eastAsia" w:ascii="仿宋_GB2312" w:hAnsi="仿宋_GB2312" w:cs="仿宋_GB2312"/>
                <w:sz w:val="21"/>
                <w:szCs w:val="21"/>
                <w:highlight w:val="none"/>
              </w:rPr>
              <w:t>企业基地</w:t>
            </w:r>
          </w:p>
        </w:tc>
      </w:tr>
      <w:tr w14:paraId="6B4A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1" w:type="pct"/>
            <w:vMerge w:val="continue"/>
            <w:vAlign w:val="center"/>
          </w:tcPr>
          <w:p w14:paraId="27E348E7">
            <w:pPr>
              <w:pStyle w:val="5"/>
              <w:spacing w:before="156"/>
              <w:rPr>
                <w:highlight w:val="none"/>
              </w:rPr>
            </w:pPr>
          </w:p>
        </w:tc>
        <w:tc>
          <w:tcPr>
            <w:tcW w:w="1446" w:type="pct"/>
            <w:vAlign w:val="center"/>
          </w:tcPr>
          <w:p w14:paraId="55D67BBA">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lang w:val="en-US" w:eastAsia="zh-CN"/>
              </w:rPr>
              <w:t>充电桩安装</w:t>
            </w:r>
            <w:r>
              <w:rPr>
                <w:rFonts w:hint="eastAsia" w:ascii="仿宋_GB2312" w:hAnsi="仿宋_GB2312" w:cs="仿宋_GB2312"/>
                <w:sz w:val="21"/>
                <w:szCs w:val="21"/>
                <w:highlight w:val="none"/>
              </w:rPr>
              <w:t>实训</w:t>
            </w:r>
          </w:p>
        </w:tc>
        <w:tc>
          <w:tcPr>
            <w:tcW w:w="696" w:type="pct"/>
            <w:vAlign w:val="center"/>
          </w:tcPr>
          <w:p w14:paraId="23F192D4">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2</w:t>
            </w:r>
          </w:p>
        </w:tc>
        <w:tc>
          <w:tcPr>
            <w:tcW w:w="413" w:type="pct"/>
            <w:vAlign w:val="center"/>
          </w:tcPr>
          <w:p w14:paraId="510E979C">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1</w:t>
            </w:r>
          </w:p>
        </w:tc>
        <w:tc>
          <w:tcPr>
            <w:tcW w:w="413" w:type="pct"/>
            <w:vAlign w:val="center"/>
          </w:tcPr>
          <w:p w14:paraId="792600DA">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30</w:t>
            </w:r>
          </w:p>
        </w:tc>
        <w:tc>
          <w:tcPr>
            <w:tcW w:w="827" w:type="pct"/>
            <w:vAlign w:val="center"/>
          </w:tcPr>
          <w:p w14:paraId="060DC55B">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校内实桩基地</w:t>
            </w:r>
          </w:p>
        </w:tc>
      </w:tr>
      <w:tr w14:paraId="2B075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1" w:type="pct"/>
            <w:vMerge w:val="continue"/>
            <w:vAlign w:val="center"/>
          </w:tcPr>
          <w:p w14:paraId="56CFF116">
            <w:pPr>
              <w:pStyle w:val="5"/>
              <w:spacing w:before="156"/>
              <w:rPr>
                <w:highlight w:val="none"/>
              </w:rPr>
            </w:pPr>
          </w:p>
        </w:tc>
        <w:tc>
          <w:tcPr>
            <w:tcW w:w="1446" w:type="pct"/>
            <w:vAlign w:val="center"/>
          </w:tcPr>
          <w:p w14:paraId="32AA3B09">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lang w:val="en-US" w:eastAsia="zh-CN"/>
              </w:rPr>
              <w:t>充电桩巡检与检修</w:t>
            </w:r>
            <w:r>
              <w:rPr>
                <w:rFonts w:hint="eastAsia" w:ascii="仿宋_GB2312" w:hAnsi="仿宋_GB2312" w:cs="仿宋_GB2312"/>
                <w:sz w:val="21"/>
                <w:szCs w:val="21"/>
                <w:highlight w:val="none"/>
              </w:rPr>
              <w:t>实训</w:t>
            </w:r>
          </w:p>
        </w:tc>
        <w:tc>
          <w:tcPr>
            <w:tcW w:w="696" w:type="pct"/>
            <w:vAlign w:val="center"/>
          </w:tcPr>
          <w:p w14:paraId="66E8201F">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4</w:t>
            </w:r>
          </w:p>
        </w:tc>
        <w:tc>
          <w:tcPr>
            <w:tcW w:w="413" w:type="pct"/>
            <w:vAlign w:val="center"/>
          </w:tcPr>
          <w:p w14:paraId="75043D2E">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1</w:t>
            </w:r>
          </w:p>
        </w:tc>
        <w:tc>
          <w:tcPr>
            <w:tcW w:w="413" w:type="pct"/>
            <w:vAlign w:val="center"/>
          </w:tcPr>
          <w:p w14:paraId="0BB97BCB">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30</w:t>
            </w:r>
          </w:p>
        </w:tc>
        <w:tc>
          <w:tcPr>
            <w:tcW w:w="827" w:type="pct"/>
            <w:vAlign w:val="center"/>
          </w:tcPr>
          <w:p w14:paraId="37EE9068">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校内实桩基地</w:t>
            </w:r>
          </w:p>
        </w:tc>
      </w:tr>
      <w:tr w14:paraId="7E95D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1" w:type="pct"/>
            <w:vMerge w:val="restart"/>
            <w:vAlign w:val="center"/>
          </w:tcPr>
          <w:p w14:paraId="4D5224AD">
            <w:pPr>
              <w:pStyle w:val="5"/>
              <w:spacing w:before="156"/>
              <w:jc w:val="center"/>
              <w:rPr>
                <w:highlight w:val="none"/>
              </w:rPr>
            </w:pPr>
            <w:r>
              <w:rPr>
                <w:rFonts w:hint="eastAsia"/>
                <w:b/>
                <w:bCs/>
                <w:highlight w:val="none"/>
              </w:rPr>
              <w:t>校外实训</w:t>
            </w:r>
          </w:p>
        </w:tc>
        <w:tc>
          <w:tcPr>
            <w:tcW w:w="1446" w:type="pct"/>
            <w:vAlign w:val="center"/>
          </w:tcPr>
          <w:p w14:paraId="5DB6B69A">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专业技能综合实训</w:t>
            </w:r>
          </w:p>
        </w:tc>
        <w:tc>
          <w:tcPr>
            <w:tcW w:w="696" w:type="pct"/>
            <w:vAlign w:val="center"/>
          </w:tcPr>
          <w:p w14:paraId="668364AD">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5</w:t>
            </w:r>
          </w:p>
        </w:tc>
        <w:tc>
          <w:tcPr>
            <w:tcW w:w="413" w:type="pct"/>
            <w:vAlign w:val="center"/>
          </w:tcPr>
          <w:p w14:paraId="72414F2E">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8</w:t>
            </w:r>
          </w:p>
        </w:tc>
        <w:tc>
          <w:tcPr>
            <w:tcW w:w="413" w:type="pct"/>
            <w:vAlign w:val="center"/>
          </w:tcPr>
          <w:p w14:paraId="77152E08">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160</w:t>
            </w:r>
          </w:p>
        </w:tc>
        <w:tc>
          <w:tcPr>
            <w:tcW w:w="827" w:type="pct"/>
            <w:vAlign w:val="center"/>
          </w:tcPr>
          <w:p w14:paraId="15B22295">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lang w:val="en-US" w:eastAsia="zh-CN"/>
              </w:rPr>
              <w:t>订单</w:t>
            </w:r>
            <w:r>
              <w:rPr>
                <w:rFonts w:hint="eastAsia" w:ascii="仿宋_GB2312" w:hAnsi="仿宋_GB2312" w:cs="仿宋_GB2312"/>
                <w:sz w:val="21"/>
                <w:szCs w:val="21"/>
                <w:highlight w:val="none"/>
              </w:rPr>
              <w:t>企业基地</w:t>
            </w:r>
          </w:p>
        </w:tc>
      </w:tr>
      <w:tr w14:paraId="2A329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1" w:type="pct"/>
            <w:vMerge w:val="continue"/>
            <w:vAlign w:val="center"/>
          </w:tcPr>
          <w:p w14:paraId="6E74EBCE">
            <w:pPr>
              <w:pStyle w:val="5"/>
              <w:spacing w:before="156"/>
              <w:jc w:val="center"/>
              <w:rPr>
                <w:b/>
                <w:bCs/>
                <w:highlight w:val="none"/>
              </w:rPr>
            </w:pPr>
          </w:p>
        </w:tc>
        <w:tc>
          <w:tcPr>
            <w:tcW w:w="1446" w:type="pct"/>
            <w:vAlign w:val="center"/>
          </w:tcPr>
          <w:p w14:paraId="568AD94C">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岗位实习（1）</w:t>
            </w:r>
          </w:p>
        </w:tc>
        <w:tc>
          <w:tcPr>
            <w:tcW w:w="696" w:type="pct"/>
            <w:vAlign w:val="center"/>
          </w:tcPr>
          <w:p w14:paraId="7A2024A9">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5</w:t>
            </w:r>
          </w:p>
        </w:tc>
        <w:tc>
          <w:tcPr>
            <w:tcW w:w="413" w:type="pct"/>
            <w:vAlign w:val="center"/>
          </w:tcPr>
          <w:p w14:paraId="52368CE1">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10</w:t>
            </w:r>
          </w:p>
        </w:tc>
        <w:tc>
          <w:tcPr>
            <w:tcW w:w="413" w:type="pct"/>
            <w:vAlign w:val="center"/>
          </w:tcPr>
          <w:p w14:paraId="121AA629">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200</w:t>
            </w:r>
          </w:p>
        </w:tc>
        <w:tc>
          <w:tcPr>
            <w:tcW w:w="827" w:type="pct"/>
            <w:vAlign w:val="center"/>
          </w:tcPr>
          <w:p w14:paraId="7CD7D555">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lang w:val="en-US" w:eastAsia="zh-CN"/>
              </w:rPr>
              <w:t>充换电</w:t>
            </w:r>
            <w:r>
              <w:rPr>
                <w:rFonts w:hint="eastAsia" w:ascii="仿宋_GB2312" w:hAnsi="仿宋_GB2312" w:cs="仿宋_GB2312"/>
                <w:sz w:val="21"/>
                <w:szCs w:val="21"/>
                <w:highlight w:val="none"/>
              </w:rPr>
              <w:t>企业</w:t>
            </w:r>
          </w:p>
        </w:tc>
      </w:tr>
      <w:tr w14:paraId="5E348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1" w:type="pct"/>
            <w:vMerge w:val="continue"/>
            <w:vAlign w:val="center"/>
          </w:tcPr>
          <w:p w14:paraId="0F24CD4F">
            <w:pPr>
              <w:pStyle w:val="5"/>
              <w:spacing w:before="156"/>
              <w:jc w:val="center"/>
              <w:rPr>
                <w:b/>
                <w:bCs/>
                <w:highlight w:val="none"/>
              </w:rPr>
            </w:pPr>
          </w:p>
        </w:tc>
        <w:tc>
          <w:tcPr>
            <w:tcW w:w="1446" w:type="pct"/>
            <w:vAlign w:val="center"/>
          </w:tcPr>
          <w:p w14:paraId="374D3760">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岗位实习（2）</w:t>
            </w:r>
          </w:p>
        </w:tc>
        <w:tc>
          <w:tcPr>
            <w:tcW w:w="696" w:type="pct"/>
            <w:vAlign w:val="center"/>
          </w:tcPr>
          <w:p w14:paraId="3FD7B758">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6</w:t>
            </w:r>
          </w:p>
        </w:tc>
        <w:tc>
          <w:tcPr>
            <w:tcW w:w="413" w:type="pct"/>
            <w:vAlign w:val="center"/>
          </w:tcPr>
          <w:p w14:paraId="5E303CE5">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14</w:t>
            </w:r>
          </w:p>
        </w:tc>
        <w:tc>
          <w:tcPr>
            <w:tcW w:w="413" w:type="pct"/>
            <w:vAlign w:val="center"/>
          </w:tcPr>
          <w:p w14:paraId="0E2B4035">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280</w:t>
            </w:r>
          </w:p>
        </w:tc>
        <w:tc>
          <w:tcPr>
            <w:tcW w:w="827" w:type="pct"/>
            <w:vAlign w:val="center"/>
          </w:tcPr>
          <w:p w14:paraId="3C6D0884">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lang w:val="en-US" w:eastAsia="zh-CN"/>
              </w:rPr>
              <w:t>充换电</w:t>
            </w:r>
            <w:r>
              <w:rPr>
                <w:rFonts w:hint="eastAsia" w:ascii="仿宋_GB2312" w:hAnsi="仿宋_GB2312" w:cs="仿宋_GB2312"/>
                <w:sz w:val="21"/>
                <w:szCs w:val="21"/>
                <w:highlight w:val="none"/>
              </w:rPr>
              <w:t>企业</w:t>
            </w:r>
          </w:p>
        </w:tc>
      </w:tr>
      <w:tr w14:paraId="410B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01" w:type="pct"/>
            <w:vMerge w:val="continue"/>
            <w:vAlign w:val="center"/>
          </w:tcPr>
          <w:p w14:paraId="182ECA5C">
            <w:pPr>
              <w:pStyle w:val="5"/>
              <w:spacing w:before="156"/>
              <w:rPr>
                <w:highlight w:val="none"/>
              </w:rPr>
            </w:pPr>
          </w:p>
        </w:tc>
        <w:tc>
          <w:tcPr>
            <w:tcW w:w="1446" w:type="pct"/>
            <w:vAlign w:val="center"/>
          </w:tcPr>
          <w:p w14:paraId="7343FF2C">
            <w:pPr>
              <w:pStyle w:val="5"/>
              <w:ind w:firstLine="420" w:firstLineChars="200"/>
              <w:jc w:val="both"/>
              <w:rPr>
                <w:rFonts w:hint="eastAsia" w:ascii="仿宋_GB2312" w:hAnsi="仿宋_GB2312" w:cs="仿宋_GB2312"/>
                <w:sz w:val="21"/>
                <w:szCs w:val="21"/>
                <w:highlight w:val="none"/>
              </w:rPr>
            </w:pPr>
            <w:r>
              <w:rPr>
                <w:rFonts w:hint="eastAsia" w:ascii="仿宋_GB2312" w:hAnsi="仿宋_GB2312" w:cs="仿宋_GB2312"/>
                <w:sz w:val="21"/>
                <w:szCs w:val="21"/>
                <w:highlight w:val="none"/>
              </w:rPr>
              <w:t>毕业实践报告</w:t>
            </w:r>
          </w:p>
        </w:tc>
        <w:tc>
          <w:tcPr>
            <w:tcW w:w="696" w:type="pct"/>
            <w:vAlign w:val="center"/>
          </w:tcPr>
          <w:p w14:paraId="3A66B6F3">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6</w:t>
            </w:r>
          </w:p>
        </w:tc>
        <w:tc>
          <w:tcPr>
            <w:tcW w:w="413" w:type="pct"/>
            <w:vAlign w:val="center"/>
          </w:tcPr>
          <w:p w14:paraId="74C700EE">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4</w:t>
            </w:r>
          </w:p>
        </w:tc>
        <w:tc>
          <w:tcPr>
            <w:tcW w:w="413" w:type="pct"/>
            <w:vAlign w:val="center"/>
          </w:tcPr>
          <w:p w14:paraId="6C5E0E68">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rPr>
              <w:t>80</w:t>
            </w:r>
          </w:p>
        </w:tc>
        <w:tc>
          <w:tcPr>
            <w:tcW w:w="827" w:type="pct"/>
            <w:vAlign w:val="center"/>
          </w:tcPr>
          <w:p w14:paraId="72266AD4">
            <w:pPr>
              <w:pStyle w:val="5"/>
              <w:jc w:val="center"/>
              <w:rPr>
                <w:rFonts w:hint="eastAsia" w:ascii="仿宋_GB2312" w:hAnsi="仿宋_GB2312" w:cs="仿宋_GB2312"/>
                <w:sz w:val="21"/>
                <w:szCs w:val="21"/>
                <w:highlight w:val="none"/>
              </w:rPr>
            </w:pPr>
            <w:r>
              <w:rPr>
                <w:rFonts w:hint="eastAsia" w:ascii="仿宋_GB2312" w:hAnsi="仿宋_GB2312" w:cs="仿宋_GB2312"/>
                <w:sz w:val="21"/>
                <w:szCs w:val="21"/>
                <w:highlight w:val="none"/>
                <w:lang w:val="en-US" w:eastAsia="zh-CN"/>
              </w:rPr>
              <w:t>充换电</w:t>
            </w:r>
            <w:r>
              <w:rPr>
                <w:rFonts w:hint="eastAsia" w:ascii="仿宋_GB2312" w:hAnsi="仿宋_GB2312" w:cs="仿宋_GB2312"/>
                <w:sz w:val="21"/>
                <w:szCs w:val="21"/>
                <w:highlight w:val="none"/>
              </w:rPr>
              <w:t>企业</w:t>
            </w:r>
          </w:p>
        </w:tc>
      </w:tr>
      <w:bookmarkEnd w:id="56"/>
    </w:tbl>
    <w:p w14:paraId="53C61E32">
      <w:pPr>
        <w:rPr>
          <w:highlight w:val="none"/>
        </w:rPr>
        <w:sectPr>
          <w:footerReference r:id="rId3" w:type="default"/>
          <w:pgSz w:w="11906" w:h="16838"/>
          <w:pgMar w:top="1440" w:right="1800" w:bottom="1440" w:left="1800" w:header="851" w:footer="992" w:gutter="0"/>
          <w:pgNumType w:start="1"/>
          <w:cols w:space="425" w:num="1"/>
          <w:docGrid w:type="lines" w:linePitch="312" w:charSpace="0"/>
        </w:sectPr>
      </w:pPr>
    </w:p>
    <w:p w14:paraId="2DC6EC13">
      <w:pPr>
        <w:pStyle w:val="2"/>
        <w:spacing w:before="87" w:after="87"/>
        <w:ind w:firstLine="640"/>
        <w:rPr>
          <w:highlight w:val="none"/>
        </w:rPr>
      </w:pPr>
      <w:bookmarkStart w:id="57" w:name="_Toc168736743"/>
      <w:bookmarkStart w:id="58" w:name="_Toc201407680"/>
      <w:bookmarkStart w:id="59" w:name="_Toc14186"/>
      <w:r>
        <w:rPr>
          <w:rFonts w:hint="eastAsia"/>
          <w:highlight w:val="none"/>
        </w:rPr>
        <w:t>七、教学进程总体安排</w:t>
      </w:r>
      <w:bookmarkEnd w:id="57"/>
      <w:bookmarkEnd w:id="58"/>
      <w:bookmarkEnd w:id="59"/>
    </w:p>
    <w:p w14:paraId="435B580A">
      <w:pPr>
        <w:pStyle w:val="3"/>
        <w:ind w:firstLine="643"/>
        <w:rPr>
          <w:highlight w:val="none"/>
        </w:rPr>
      </w:pPr>
      <w:bookmarkStart w:id="60" w:name="_Toc168736744"/>
      <w:bookmarkStart w:id="61" w:name="_Toc201407681"/>
      <w:bookmarkStart w:id="62" w:name="_Toc29472"/>
      <w:r>
        <w:rPr>
          <w:rFonts w:hint="eastAsia"/>
          <w:highlight w:val="none"/>
        </w:rPr>
        <w:t>（一）教学进程安排表</w:t>
      </w:r>
      <w:bookmarkEnd w:id="60"/>
      <w:bookmarkEnd w:id="61"/>
      <w:bookmarkEnd w:id="62"/>
    </w:p>
    <w:p w14:paraId="5D433A38">
      <w:pPr>
        <w:overflowPunct w:val="0"/>
        <w:adjustRightInd w:val="0"/>
        <w:snapToGrid w:val="0"/>
        <w:spacing w:before="217" w:beforeLines="50" w:after="217" w:afterLines="50" w:line="360" w:lineRule="auto"/>
        <w:jc w:val="center"/>
        <w:rPr>
          <w:highlight w:val="none"/>
        </w:rPr>
      </w:pPr>
      <w:r>
        <w:rPr>
          <w:rFonts w:hint="eastAsia" w:ascii="仿宋_GB2312" w:hAnsi="仿宋_GB2312" w:cs="仿宋_GB2312"/>
          <w:b/>
          <w:bCs/>
          <w:sz w:val="28"/>
          <w:szCs w:val="28"/>
          <w:highlight w:val="none"/>
        </w:rPr>
        <w:t xml:space="preserve">表五  </w:t>
      </w:r>
      <w:r>
        <w:rPr>
          <w:rFonts w:hint="eastAsia" w:ascii="仿宋_GB2312" w:hAnsi="仿宋_GB2312" w:cs="仿宋_GB2312"/>
          <w:b/>
          <w:bCs/>
          <w:sz w:val="28"/>
          <w:szCs w:val="28"/>
          <w:highlight w:val="none"/>
          <w:lang w:eastAsia="zh-CN"/>
        </w:rPr>
        <w:t>新能源汽车检测与维修</w:t>
      </w:r>
      <w:r>
        <w:rPr>
          <w:rFonts w:hint="eastAsia" w:ascii="仿宋_GB2312" w:hAnsi="仿宋_GB2312" w:cs="仿宋_GB2312"/>
          <w:b/>
          <w:bCs/>
          <w:sz w:val="28"/>
          <w:szCs w:val="28"/>
          <w:highlight w:val="none"/>
        </w:rPr>
        <w:t>专业教学进程安排表</w:t>
      </w:r>
    </w:p>
    <w:tbl>
      <w:tblPr>
        <w:tblStyle w:val="15"/>
        <w:tblW w:w="13865"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7"/>
        <w:gridCol w:w="424"/>
        <w:gridCol w:w="432"/>
        <w:gridCol w:w="979"/>
        <w:gridCol w:w="1944"/>
        <w:gridCol w:w="457"/>
        <w:gridCol w:w="510"/>
        <w:gridCol w:w="595"/>
        <w:gridCol w:w="512"/>
        <w:gridCol w:w="579"/>
        <w:gridCol w:w="536"/>
        <w:gridCol w:w="536"/>
        <w:gridCol w:w="504"/>
        <w:gridCol w:w="504"/>
        <w:gridCol w:w="624"/>
        <w:gridCol w:w="624"/>
        <w:gridCol w:w="718"/>
        <w:gridCol w:w="999"/>
        <w:gridCol w:w="1336"/>
        <w:gridCol w:w="645"/>
      </w:tblGrid>
      <w:tr w14:paraId="257FD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73796C">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课程性质</w:t>
            </w:r>
          </w:p>
        </w:tc>
        <w:tc>
          <w:tcPr>
            <w:tcW w:w="4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5B330F">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课程属性</w:t>
            </w:r>
          </w:p>
        </w:tc>
        <w:tc>
          <w:tcPr>
            <w:tcW w:w="4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8F7357">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序号</w:t>
            </w:r>
          </w:p>
        </w:tc>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CCE5C1">
            <w:pPr>
              <w:keepNext w:val="0"/>
              <w:keepLines w:val="0"/>
              <w:widowControl/>
              <w:suppressLineNumbers w:val="0"/>
              <w:jc w:val="left"/>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课程代码</w:t>
            </w:r>
          </w:p>
        </w:tc>
        <w:tc>
          <w:tcPr>
            <w:tcW w:w="19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4B8639">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课程名称</w:t>
            </w: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8267AE">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课程类型</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B7E580">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学分</w:t>
            </w:r>
          </w:p>
        </w:tc>
        <w:tc>
          <w:tcPr>
            <w:tcW w:w="16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B4441E">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计划学时</w:t>
            </w:r>
          </w:p>
        </w:tc>
        <w:tc>
          <w:tcPr>
            <w:tcW w:w="33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173386">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周学时</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533DEC">
            <w:pPr>
              <w:keepNext w:val="0"/>
              <w:keepLines w:val="0"/>
              <w:widowControl/>
              <w:suppressLineNumbers w:val="0"/>
              <w:jc w:val="center"/>
              <w:textAlignment w:val="center"/>
              <w:rPr>
                <w:rFonts w:hint="eastAsia" w:ascii="宋体" w:hAnsi="宋体" w:eastAsia="宋体" w:cs="宋体"/>
                <w:b/>
                <w:bCs/>
                <w:i w:val="0"/>
                <w:iCs w:val="0"/>
                <w:color w:val="000000"/>
                <w:kern w:val="0"/>
                <w:sz w:val="16"/>
                <w:szCs w:val="16"/>
                <w:highlight w:val="none"/>
                <w:u w:val="none"/>
                <w:lang w:val="en-US" w:eastAsia="zh-CN" w:bidi="ar"/>
              </w:rPr>
            </w:pPr>
            <w:r>
              <w:rPr>
                <w:rFonts w:hint="eastAsia" w:ascii="宋体" w:hAnsi="宋体" w:eastAsia="宋体" w:cs="宋体"/>
                <w:b/>
                <w:bCs/>
                <w:i w:val="0"/>
                <w:iCs w:val="0"/>
                <w:color w:val="000000"/>
                <w:kern w:val="0"/>
                <w:sz w:val="16"/>
                <w:szCs w:val="16"/>
                <w:highlight w:val="none"/>
                <w:u w:val="none"/>
                <w:lang w:val="en-US" w:eastAsia="zh-CN" w:bidi="ar"/>
              </w:rPr>
              <w:t>考核</w:t>
            </w:r>
          </w:p>
          <w:p w14:paraId="433C6BCF">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方式</w:t>
            </w:r>
          </w:p>
        </w:tc>
        <w:tc>
          <w:tcPr>
            <w:tcW w:w="9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FEF711">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主要教学场所</w:t>
            </w:r>
          </w:p>
        </w:tc>
        <w:tc>
          <w:tcPr>
            <w:tcW w:w="13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532069">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开课学院</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CA22B2">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是否课证融合</w:t>
            </w:r>
          </w:p>
        </w:tc>
      </w:tr>
      <w:tr w14:paraId="159E0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1D9CB">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3A9D6">
            <w:pPr>
              <w:jc w:val="center"/>
              <w:rPr>
                <w:rFonts w:hint="eastAsia" w:ascii="宋体" w:hAnsi="宋体" w:eastAsia="宋体" w:cs="宋体"/>
                <w:b/>
                <w:bCs/>
                <w:i w:val="0"/>
                <w:iCs w:val="0"/>
                <w:color w:val="000000"/>
                <w:sz w:val="16"/>
                <w:szCs w:val="16"/>
                <w:highlight w:val="none"/>
                <w:u w:val="none"/>
              </w:rPr>
            </w:pPr>
          </w:p>
        </w:tc>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92CAB">
            <w:pPr>
              <w:jc w:val="center"/>
              <w:rPr>
                <w:rFonts w:hint="eastAsia" w:ascii="宋体" w:hAnsi="宋体" w:eastAsia="宋体" w:cs="宋体"/>
                <w:b/>
                <w:bCs/>
                <w:i w:val="0"/>
                <w:iCs w:val="0"/>
                <w:color w:val="000000"/>
                <w:sz w:val="16"/>
                <w:szCs w:val="16"/>
                <w:highlight w:val="none"/>
                <w:u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22DF6">
            <w:pPr>
              <w:jc w:val="left"/>
              <w:rPr>
                <w:rFonts w:hint="eastAsia" w:ascii="宋体" w:hAnsi="宋体" w:eastAsia="宋体" w:cs="宋体"/>
                <w:b/>
                <w:bCs/>
                <w:i w:val="0"/>
                <w:iCs w:val="0"/>
                <w:color w:val="000000"/>
                <w:sz w:val="16"/>
                <w:szCs w:val="16"/>
                <w:highlight w:val="none"/>
                <w:u w:val="none"/>
              </w:rPr>
            </w:pPr>
          </w:p>
        </w:tc>
        <w:tc>
          <w:tcPr>
            <w:tcW w:w="1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80B7B">
            <w:pPr>
              <w:jc w:val="center"/>
              <w:rPr>
                <w:rFonts w:hint="eastAsia" w:ascii="宋体" w:hAnsi="宋体" w:eastAsia="宋体" w:cs="宋体"/>
                <w:b/>
                <w:bCs/>
                <w:i w:val="0"/>
                <w:iCs w:val="0"/>
                <w:color w:val="000000"/>
                <w:sz w:val="16"/>
                <w:szCs w:val="16"/>
                <w:highlight w:val="none"/>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B4F81">
            <w:pPr>
              <w:jc w:val="center"/>
              <w:rPr>
                <w:rFonts w:hint="eastAsia" w:ascii="宋体" w:hAnsi="宋体" w:eastAsia="宋体" w:cs="宋体"/>
                <w:b/>
                <w:bCs/>
                <w:i w:val="0"/>
                <w:iCs w:val="0"/>
                <w:color w:val="000000"/>
                <w:sz w:val="16"/>
                <w:szCs w:val="16"/>
                <w:highlight w:val="none"/>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570CD">
            <w:pPr>
              <w:jc w:val="center"/>
              <w:rPr>
                <w:rFonts w:hint="eastAsia" w:ascii="宋体" w:hAnsi="宋体" w:eastAsia="宋体" w:cs="宋体"/>
                <w:b/>
                <w:bCs/>
                <w:i w:val="0"/>
                <w:iCs w:val="0"/>
                <w:color w:val="000000"/>
                <w:sz w:val="16"/>
                <w:szCs w:val="16"/>
                <w:highlight w:val="none"/>
                <w:u w:val="none"/>
              </w:rPr>
            </w:pPr>
          </w:p>
        </w:tc>
        <w:tc>
          <w:tcPr>
            <w:tcW w:w="5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20A064">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总学时</w:t>
            </w:r>
          </w:p>
        </w:tc>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FA7B1">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理论</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9CE7FA">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实践</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960B64">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第一学年</w:t>
            </w:r>
          </w:p>
        </w:tc>
        <w:tc>
          <w:tcPr>
            <w:tcW w:w="10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F2FDF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第二学年</w:t>
            </w:r>
          </w:p>
        </w:tc>
        <w:tc>
          <w:tcPr>
            <w:tcW w:w="12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11453B">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第三学年</w:t>
            </w: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3E120">
            <w:pPr>
              <w:jc w:val="center"/>
              <w:rPr>
                <w:rFonts w:hint="eastAsia" w:ascii="宋体" w:hAnsi="宋体" w:eastAsia="宋体" w:cs="宋体"/>
                <w:b/>
                <w:bCs/>
                <w:i w:val="0"/>
                <w:iCs w:val="0"/>
                <w:color w:val="000000"/>
                <w:sz w:val="16"/>
                <w:szCs w:val="16"/>
                <w:highlight w:val="none"/>
                <w:u w:val="none"/>
              </w:rPr>
            </w:pPr>
          </w:p>
        </w:tc>
        <w:tc>
          <w:tcPr>
            <w:tcW w:w="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867E0">
            <w:pPr>
              <w:jc w:val="center"/>
              <w:rPr>
                <w:rFonts w:hint="eastAsia" w:ascii="宋体" w:hAnsi="宋体" w:eastAsia="宋体" w:cs="宋体"/>
                <w:b/>
                <w:bCs/>
                <w:i w:val="0"/>
                <w:iCs w:val="0"/>
                <w:color w:val="000000"/>
                <w:sz w:val="16"/>
                <w:szCs w:val="16"/>
                <w:highlight w:val="none"/>
                <w:u w:val="none"/>
              </w:rPr>
            </w:pPr>
          </w:p>
        </w:tc>
        <w:tc>
          <w:tcPr>
            <w:tcW w:w="13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DEC14">
            <w:pPr>
              <w:jc w:val="center"/>
              <w:rPr>
                <w:rFonts w:hint="eastAsia" w:ascii="宋体" w:hAnsi="宋体" w:eastAsia="宋体" w:cs="宋体"/>
                <w:b/>
                <w:bCs/>
                <w:i w:val="0"/>
                <w:iCs w:val="0"/>
                <w:color w:val="000000"/>
                <w:sz w:val="16"/>
                <w:szCs w:val="16"/>
                <w:highlight w:val="none"/>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05C5F">
            <w:pPr>
              <w:jc w:val="center"/>
              <w:rPr>
                <w:rFonts w:hint="eastAsia" w:ascii="宋体" w:hAnsi="宋体" w:eastAsia="宋体" w:cs="宋体"/>
                <w:b/>
                <w:bCs/>
                <w:i w:val="0"/>
                <w:iCs w:val="0"/>
                <w:color w:val="000000"/>
                <w:sz w:val="16"/>
                <w:szCs w:val="16"/>
                <w:highlight w:val="none"/>
                <w:u w:val="none"/>
              </w:rPr>
            </w:pPr>
          </w:p>
        </w:tc>
      </w:tr>
      <w:tr w14:paraId="7CCAD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9E75B">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95FB6E">
            <w:pPr>
              <w:jc w:val="center"/>
              <w:rPr>
                <w:rFonts w:hint="eastAsia" w:ascii="宋体" w:hAnsi="宋体" w:eastAsia="宋体" w:cs="宋体"/>
                <w:b/>
                <w:bCs/>
                <w:i w:val="0"/>
                <w:iCs w:val="0"/>
                <w:color w:val="000000"/>
                <w:sz w:val="16"/>
                <w:szCs w:val="16"/>
                <w:highlight w:val="none"/>
                <w:u w:val="none"/>
              </w:rPr>
            </w:pPr>
          </w:p>
        </w:tc>
        <w:tc>
          <w:tcPr>
            <w:tcW w:w="4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02691">
            <w:pPr>
              <w:jc w:val="center"/>
              <w:rPr>
                <w:rFonts w:hint="eastAsia" w:ascii="宋体" w:hAnsi="宋体" w:eastAsia="宋体" w:cs="宋体"/>
                <w:b/>
                <w:bCs/>
                <w:i w:val="0"/>
                <w:iCs w:val="0"/>
                <w:color w:val="000000"/>
                <w:sz w:val="16"/>
                <w:szCs w:val="16"/>
                <w:highlight w:val="none"/>
                <w:u w:val="none"/>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64D87">
            <w:pPr>
              <w:jc w:val="left"/>
              <w:rPr>
                <w:rFonts w:hint="eastAsia" w:ascii="宋体" w:hAnsi="宋体" w:eastAsia="宋体" w:cs="宋体"/>
                <w:b/>
                <w:bCs/>
                <w:i w:val="0"/>
                <w:iCs w:val="0"/>
                <w:color w:val="000000"/>
                <w:sz w:val="16"/>
                <w:szCs w:val="16"/>
                <w:highlight w:val="none"/>
                <w:u w:val="none"/>
              </w:rPr>
            </w:pPr>
          </w:p>
        </w:tc>
        <w:tc>
          <w:tcPr>
            <w:tcW w:w="19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2D4AD">
            <w:pPr>
              <w:jc w:val="center"/>
              <w:rPr>
                <w:rFonts w:hint="eastAsia" w:ascii="宋体" w:hAnsi="宋体" w:eastAsia="宋体" w:cs="宋体"/>
                <w:b/>
                <w:bCs/>
                <w:i w:val="0"/>
                <w:iCs w:val="0"/>
                <w:color w:val="000000"/>
                <w:sz w:val="16"/>
                <w:szCs w:val="16"/>
                <w:highlight w:val="none"/>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C1E4A">
            <w:pPr>
              <w:jc w:val="center"/>
              <w:rPr>
                <w:rFonts w:hint="eastAsia" w:ascii="宋体" w:hAnsi="宋体" w:eastAsia="宋体" w:cs="宋体"/>
                <w:b/>
                <w:bCs/>
                <w:i w:val="0"/>
                <w:iCs w:val="0"/>
                <w:color w:val="000000"/>
                <w:sz w:val="16"/>
                <w:szCs w:val="16"/>
                <w:highlight w:val="none"/>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6F662">
            <w:pPr>
              <w:jc w:val="center"/>
              <w:rPr>
                <w:rFonts w:hint="eastAsia" w:ascii="宋体" w:hAnsi="宋体" w:eastAsia="宋体" w:cs="宋体"/>
                <w:b/>
                <w:bCs/>
                <w:i w:val="0"/>
                <w:iCs w:val="0"/>
                <w:color w:val="000000"/>
                <w:sz w:val="16"/>
                <w:szCs w:val="16"/>
                <w:highlight w:val="none"/>
                <w:u w:val="none"/>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510CC">
            <w:pPr>
              <w:jc w:val="center"/>
              <w:rPr>
                <w:rFonts w:hint="eastAsia" w:ascii="宋体" w:hAnsi="宋体" w:eastAsia="宋体" w:cs="宋体"/>
                <w:b/>
                <w:bCs/>
                <w:i w:val="0"/>
                <w:iCs w:val="0"/>
                <w:color w:val="000000"/>
                <w:sz w:val="16"/>
                <w:szCs w:val="16"/>
                <w:highlight w:val="none"/>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711D2">
            <w:pPr>
              <w:jc w:val="center"/>
              <w:rPr>
                <w:rFonts w:hint="eastAsia" w:ascii="宋体" w:hAnsi="宋体" w:eastAsia="宋体" w:cs="宋体"/>
                <w:b/>
                <w:bCs/>
                <w:i w:val="0"/>
                <w:iCs w:val="0"/>
                <w:color w:val="000000"/>
                <w:sz w:val="16"/>
                <w:szCs w:val="16"/>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05913">
            <w:pPr>
              <w:jc w:val="center"/>
              <w:rPr>
                <w:rFonts w:hint="eastAsia" w:ascii="宋体" w:hAnsi="宋体" w:eastAsia="宋体" w:cs="宋体"/>
                <w:b/>
                <w:bCs/>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831CB">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72158">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730E">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3</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D3D25">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4</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6D16">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5</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12FF0">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6</w:t>
            </w: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E196E">
            <w:pPr>
              <w:jc w:val="center"/>
              <w:rPr>
                <w:rFonts w:hint="eastAsia" w:ascii="宋体" w:hAnsi="宋体" w:eastAsia="宋体" w:cs="宋体"/>
                <w:b/>
                <w:bCs/>
                <w:i w:val="0"/>
                <w:iCs w:val="0"/>
                <w:color w:val="000000"/>
                <w:sz w:val="16"/>
                <w:szCs w:val="16"/>
                <w:highlight w:val="none"/>
                <w:u w:val="none"/>
              </w:rPr>
            </w:pPr>
          </w:p>
        </w:tc>
        <w:tc>
          <w:tcPr>
            <w:tcW w:w="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4773F">
            <w:pPr>
              <w:jc w:val="center"/>
              <w:rPr>
                <w:rFonts w:hint="eastAsia" w:ascii="宋体" w:hAnsi="宋体" w:eastAsia="宋体" w:cs="宋体"/>
                <w:b/>
                <w:bCs/>
                <w:i w:val="0"/>
                <w:iCs w:val="0"/>
                <w:color w:val="000000"/>
                <w:sz w:val="16"/>
                <w:szCs w:val="16"/>
                <w:highlight w:val="none"/>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2B3F9">
            <w:pPr>
              <w:jc w:val="center"/>
              <w:rPr>
                <w:rFonts w:hint="eastAsia" w:ascii="宋体" w:hAnsi="宋体" w:eastAsia="宋体" w:cs="宋体"/>
                <w:b/>
                <w:bCs/>
                <w:i w:val="0"/>
                <w:iCs w:val="0"/>
                <w:color w:val="000000"/>
                <w:sz w:val="16"/>
                <w:szCs w:val="16"/>
                <w:highlight w:val="none"/>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30E4C">
            <w:pPr>
              <w:jc w:val="center"/>
              <w:rPr>
                <w:rFonts w:hint="eastAsia" w:ascii="宋体" w:hAnsi="宋体" w:eastAsia="宋体" w:cs="宋体"/>
                <w:b/>
                <w:bCs/>
                <w:i w:val="0"/>
                <w:iCs w:val="0"/>
                <w:color w:val="000000"/>
                <w:sz w:val="16"/>
                <w:szCs w:val="16"/>
                <w:highlight w:val="none"/>
                <w:u w:val="none"/>
              </w:rPr>
            </w:pPr>
          </w:p>
        </w:tc>
      </w:tr>
      <w:tr w14:paraId="1C03F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C8C1B0">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公共课</w:t>
            </w:r>
          </w:p>
        </w:tc>
        <w:tc>
          <w:tcPr>
            <w:tcW w:w="4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E1F0A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公共必修课</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67EC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0E80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MY20039</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973D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习近平新时代中国特色社会主义思想概论</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04B3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86A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EA2D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95A9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0FB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536" w:type="dxa"/>
            <w:tcBorders>
              <w:top w:val="nil"/>
              <w:left w:val="nil"/>
              <w:bottom w:val="nil"/>
              <w:right w:val="nil"/>
            </w:tcBorders>
            <w:shd w:val="clear" w:color="auto" w:fill="auto"/>
            <w:noWrap/>
            <w:vAlign w:val="center"/>
          </w:tcPr>
          <w:p w14:paraId="526824F3">
            <w:pP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05D7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D3137">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7AE50">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3B4AF">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53214">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CD59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C46E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B517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马克思主义学院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4C0A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021CA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64094">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FFF78">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334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708E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MY20041</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2680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毛泽东思想和中国特色社会主义理论体系概论</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0B8B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B263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E80B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9FA6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F17F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8832B">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BEAA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7B944">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6C56B">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4084A">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2ECF">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4A10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1BD0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687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马克思主义学院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8AC9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76709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993A0">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03211">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AABA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9017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MY20040</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9CF1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思想道德与法治</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80B2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D850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E866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BB07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759D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5F9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w:t>
            </w:r>
          </w:p>
        </w:tc>
        <w:tc>
          <w:tcPr>
            <w:tcW w:w="536" w:type="dxa"/>
            <w:tcBorders>
              <w:top w:val="nil"/>
              <w:left w:val="nil"/>
              <w:bottom w:val="nil"/>
              <w:right w:val="nil"/>
            </w:tcBorders>
            <w:shd w:val="clear" w:color="auto" w:fill="auto"/>
            <w:noWrap/>
            <w:vAlign w:val="center"/>
          </w:tcPr>
          <w:p w14:paraId="24BFFB9A">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D192C">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C8934">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EA7AD">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5508">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EBEB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279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835F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马克思主义学院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9479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1C726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64256">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8CB2B">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7067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7269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GJ24001</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7B6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综合英语II（1）</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F95D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8A21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E9C4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26A6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A6DF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973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AEF61">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7DA6D">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82E29">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855F">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A4F7">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AB9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DD6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2CF8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国际教育学院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7BA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73A93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6C574">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4B228">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0DEF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4EE2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GJ24002</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8C61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综合英语II（2）</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621D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7947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C40D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95F8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D46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C40E6">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9DED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C92E3">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836CF">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593A3">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D235D">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6D37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5FD0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9E0F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国际教育学院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E8A2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25C99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2759D">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EAE0E">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5671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60FF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XX200106</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BCEB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信息技术</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8F85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ECC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7F3E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9822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CD88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143DF">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60E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082C5">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6667F">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28C6F">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7FBF">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59E8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B467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实训室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EF0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信息工程学院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3295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6DE6E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D01A7">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6639C">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93FF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7</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7F1E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WL20434</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0B50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体育与健康（1）</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E0E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F9A8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042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EF2B">
            <w:pPr>
              <w:jc w:val="center"/>
              <w:rPr>
                <w:rFonts w:hint="eastAsia" w:ascii="宋体" w:hAnsi="宋体" w:eastAsia="宋体" w:cs="宋体"/>
                <w:i w:val="0"/>
                <w:iCs w:val="0"/>
                <w:color w:val="000000"/>
                <w:sz w:val="16"/>
                <w:szCs w:val="16"/>
                <w:highlight w:val="none"/>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C0CA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717F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C5A39">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BC54A">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6D763">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4E28C">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817C7">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BCA6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A4EE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体育场</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1AE3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文化旅游学院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A93A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09749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2CF1C">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680BC">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ACFB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DF5F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WL20435</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7937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体育与健康（2）</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B8D9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124F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9156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0560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8514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97C8">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F2DD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6FE37">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D9D07">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D2223">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78DC6">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320E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3CFB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体育场</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534B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文化旅游学院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F55C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7C0A7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837CC">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7368D">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CD9C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9</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903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WL20436</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BE5F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体育与健康（3）</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28E3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13FF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6296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18A5C">
            <w:pPr>
              <w:jc w:val="center"/>
              <w:rPr>
                <w:rFonts w:hint="eastAsia" w:ascii="宋体" w:hAnsi="宋体" w:eastAsia="宋体" w:cs="宋体"/>
                <w:i w:val="0"/>
                <w:iCs w:val="0"/>
                <w:color w:val="000000"/>
                <w:sz w:val="16"/>
                <w:szCs w:val="16"/>
                <w:highlight w:val="none"/>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F8FE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AC4E7">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3B83F">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070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1A9C">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58E64">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1D27F">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6A1D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8FD8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体育场</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2B81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文化旅游学院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47C9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3C1D9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AF584">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59EDC">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A2F8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10</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8224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WL20437</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61CA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体育与健康（4）</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8A2E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18FE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7E14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560BC">
            <w:pPr>
              <w:jc w:val="center"/>
              <w:rPr>
                <w:rFonts w:hint="eastAsia" w:ascii="宋体" w:hAnsi="宋体" w:eastAsia="宋体" w:cs="宋体"/>
                <w:i w:val="0"/>
                <w:iCs w:val="0"/>
                <w:color w:val="000000"/>
                <w:sz w:val="16"/>
                <w:szCs w:val="16"/>
                <w:highlight w:val="none"/>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7479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DF416">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FA796">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A5148">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7CB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44145">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E7E9B">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082C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7C9C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体育场</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A0DC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文化旅游学院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4FB3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35CEE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2CE2A">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468DAB">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3503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11</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ACFF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CY20001</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B465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职业规划与就业指导</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FFED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26D5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B814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8EC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8B2B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AF9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4DF31">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7D3E">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29DEC">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64058">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A30F4">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E43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B008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AB46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学生处</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6F06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2B521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E53AF7">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84A62">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2706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12</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0246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CY20002</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F693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创业基础</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446D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C6C0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3CC0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E2B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B19C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D431E">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D66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93C7">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37D3F">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B8182">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B9F97">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A12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8AAE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C7B9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学生处</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5BCA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54F08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5F396B">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A01F5">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247D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13</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7882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MY20003</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27D6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心理健康教育</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167D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596B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5D3A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E2F0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16</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5B34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5E3D">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4D11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BEEB7">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45E03">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3ABAA">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B589">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4EB4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202E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79CE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学生处</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BB79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3D03E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A54AB">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B228E">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4A33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1D67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MY20004</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4FF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形势与政策（上）</w:t>
            </w: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71EBB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A</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EAEC0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5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B9D91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48</w:t>
            </w:r>
          </w:p>
        </w:tc>
        <w:tc>
          <w:tcPr>
            <w:tcW w:w="5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3103D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48</w:t>
            </w:r>
          </w:p>
        </w:tc>
        <w:tc>
          <w:tcPr>
            <w:tcW w:w="5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6EF03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0</w:t>
            </w:r>
          </w:p>
        </w:tc>
        <w:tc>
          <w:tcPr>
            <w:tcW w:w="33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922E57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1/3/5学期8课时，集中授课</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714A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C68C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2E78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马克思主义学院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712F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51A67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4DC8D">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89E42">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5D1E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15</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FB4B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MY20005</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CDB5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形势与政策（下）</w:t>
            </w: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358CA">
            <w:pPr>
              <w:jc w:val="center"/>
              <w:rPr>
                <w:rFonts w:hint="eastAsia" w:ascii="宋体" w:hAnsi="宋体" w:eastAsia="宋体" w:cs="宋体"/>
                <w:i w:val="0"/>
                <w:iCs w:val="0"/>
                <w:color w:val="000000"/>
                <w:sz w:val="16"/>
                <w:szCs w:val="16"/>
                <w:highlight w:val="none"/>
                <w:u w:val="none"/>
              </w:rPr>
            </w:pP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9EAFA">
            <w:pPr>
              <w:jc w:val="center"/>
              <w:rPr>
                <w:rFonts w:hint="eastAsia" w:ascii="宋体" w:hAnsi="宋体" w:eastAsia="宋体" w:cs="宋体"/>
                <w:i w:val="0"/>
                <w:iCs w:val="0"/>
                <w:color w:val="000000"/>
                <w:sz w:val="16"/>
                <w:szCs w:val="16"/>
                <w:highlight w:val="none"/>
                <w:u w:val="none"/>
              </w:rPr>
            </w:pPr>
          </w:p>
        </w:tc>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FEA24">
            <w:pPr>
              <w:jc w:val="center"/>
              <w:rPr>
                <w:rFonts w:hint="eastAsia" w:ascii="宋体" w:hAnsi="宋体" w:eastAsia="宋体" w:cs="宋体"/>
                <w:i w:val="0"/>
                <w:iCs w:val="0"/>
                <w:color w:val="000000"/>
                <w:sz w:val="16"/>
                <w:szCs w:val="16"/>
                <w:highlight w:val="none"/>
                <w:u w:val="none"/>
              </w:rPr>
            </w:pPr>
          </w:p>
        </w:tc>
        <w:tc>
          <w:tcPr>
            <w:tcW w:w="5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F3425E">
            <w:pPr>
              <w:jc w:val="center"/>
              <w:rPr>
                <w:rFonts w:hint="eastAsia" w:ascii="宋体" w:hAnsi="宋体" w:eastAsia="宋体" w:cs="宋体"/>
                <w:i w:val="0"/>
                <w:iCs w:val="0"/>
                <w:color w:val="000000"/>
                <w:sz w:val="16"/>
                <w:szCs w:val="16"/>
                <w:highlight w:val="none"/>
                <w:u w:val="none"/>
              </w:rPr>
            </w:pPr>
          </w:p>
        </w:tc>
        <w:tc>
          <w:tcPr>
            <w:tcW w:w="5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3E15B">
            <w:pPr>
              <w:jc w:val="center"/>
              <w:rPr>
                <w:rFonts w:hint="eastAsia" w:ascii="宋体" w:hAnsi="宋体" w:eastAsia="宋体" w:cs="宋体"/>
                <w:i w:val="0"/>
                <w:iCs w:val="0"/>
                <w:color w:val="000000"/>
                <w:sz w:val="16"/>
                <w:szCs w:val="16"/>
                <w:highlight w:val="none"/>
                <w:u w:val="none"/>
              </w:rPr>
            </w:pPr>
          </w:p>
        </w:tc>
        <w:tc>
          <w:tcPr>
            <w:tcW w:w="33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15F43F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2/4/6学期8课时，集中授课</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BEC5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71B0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F1D9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马克思主义学院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27BA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24708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E59E8">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CB098">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59BD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16</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7499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WL20550</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A60A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美育</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C601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3523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E68F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A1C7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0AA9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BF8D0">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AA6C0">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50B4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9CDC0">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B13EA">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99E82">
            <w:pP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6AB9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DBD6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4C49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文化旅游学院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845C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09492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B3231">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87660">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3708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17</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6F4E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JW20012</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D6CF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大学生安全教育</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6533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756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2D4B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60</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8B76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713F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30</w:t>
            </w:r>
          </w:p>
        </w:tc>
        <w:tc>
          <w:tcPr>
            <w:tcW w:w="33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DC25D6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每学期10课时</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7CE5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4036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575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安保处</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0C3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7E276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DC6A8">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7E443">
            <w:pPr>
              <w:jc w:val="center"/>
              <w:rPr>
                <w:rFonts w:hint="eastAsia" w:ascii="宋体" w:hAnsi="宋体" w:eastAsia="宋体" w:cs="宋体"/>
                <w:i w:val="0"/>
                <w:iCs w:val="0"/>
                <w:color w:val="000000"/>
                <w:sz w:val="16"/>
                <w:szCs w:val="16"/>
                <w:highlight w:val="none"/>
                <w:u w:val="none"/>
              </w:rPr>
            </w:pPr>
          </w:p>
        </w:tc>
        <w:tc>
          <w:tcPr>
            <w:tcW w:w="38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F9A80">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78637">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34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8C72F">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644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44430">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346</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13A4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330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5E548">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9</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46786">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17</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4C815">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E1B1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2</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FA236">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10346">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64739">
            <w:pPr>
              <w:jc w:val="center"/>
              <w:rPr>
                <w:rFonts w:hint="eastAsia" w:ascii="宋体" w:hAnsi="宋体" w:eastAsia="宋体" w:cs="宋体"/>
                <w:b/>
                <w:bCs/>
                <w:i w:val="0"/>
                <w:iCs w:val="0"/>
                <w:color w:val="000000"/>
                <w:sz w:val="16"/>
                <w:szCs w:val="16"/>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8D580">
            <w:pPr>
              <w:jc w:val="center"/>
              <w:rPr>
                <w:rFonts w:hint="eastAsia" w:ascii="宋体" w:hAnsi="宋体" w:eastAsia="宋体" w:cs="宋体"/>
                <w:b/>
                <w:bCs/>
                <w:i w:val="0"/>
                <w:iCs w:val="0"/>
                <w:color w:val="000000"/>
                <w:sz w:val="16"/>
                <w:szCs w:val="16"/>
                <w:highlight w:val="none"/>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D813E">
            <w:pPr>
              <w:jc w:val="center"/>
              <w:rPr>
                <w:rFonts w:hint="eastAsia" w:ascii="宋体" w:hAnsi="宋体" w:eastAsia="宋体" w:cs="宋体"/>
                <w:b/>
                <w:bCs/>
                <w:i w:val="0"/>
                <w:iCs w:val="0"/>
                <w:color w:val="000000"/>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53152">
            <w:pPr>
              <w:jc w:val="center"/>
              <w:rPr>
                <w:rFonts w:hint="eastAsia" w:ascii="宋体" w:hAnsi="宋体" w:eastAsia="宋体" w:cs="宋体"/>
                <w:b/>
                <w:bCs/>
                <w:i w:val="0"/>
                <w:iCs w:val="0"/>
                <w:color w:val="000000"/>
                <w:sz w:val="16"/>
                <w:szCs w:val="16"/>
                <w:highlight w:val="none"/>
                <w:u w:val="none"/>
              </w:rPr>
            </w:pPr>
          </w:p>
        </w:tc>
      </w:tr>
      <w:tr w14:paraId="75704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3009C">
            <w:pPr>
              <w:jc w:val="center"/>
              <w:rPr>
                <w:rFonts w:hint="eastAsia" w:ascii="宋体" w:hAnsi="宋体" w:eastAsia="宋体" w:cs="宋体"/>
                <w:b/>
                <w:bCs/>
                <w:i w:val="0"/>
                <w:iCs w:val="0"/>
                <w:color w:val="000000"/>
                <w:sz w:val="16"/>
                <w:szCs w:val="16"/>
                <w:highlight w:val="none"/>
                <w:u w:val="none"/>
              </w:rPr>
            </w:pPr>
          </w:p>
        </w:tc>
        <w:tc>
          <w:tcPr>
            <w:tcW w:w="4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6097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公共选修课</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670A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A87C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TS200024</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B67C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情绪管理</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7D5C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788A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2E5D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F759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1D03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7002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1A9A3">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35791">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CDA21">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384D1">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4C464">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BFB1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6A64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35C9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教务处</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76B8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3B72C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293F6">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A3AE3">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67D0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19</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D2D0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TS200011</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FA29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大学语文</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242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3CE6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3FAF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176C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1692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E22E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FC0DE">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5A276">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F410C">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68113">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D63DC">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8AA9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AA3E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7623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教务处</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559C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13061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2A4CE">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F179E">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C889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20</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E5B8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TS200414</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82A3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工匠精神</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1D2C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AC77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13F0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D3CA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5B2C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BEC0C">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56DC5">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4BA3D">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14D8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04A0E">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1EFE9">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A393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A6BD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D59D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教务处</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36B8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2721F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F3FE6">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45E0E">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E0BE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21</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1D94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TS200028</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11A1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应用文写作</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093B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A</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C541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5E97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E6B3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FDC1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13388">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05F9F">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B6C74">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F317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EF653">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405DF">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D5CB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54A9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5E72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教务处</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BD70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70EA3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E78EB">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526F0">
            <w:pPr>
              <w:jc w:val="center"/>
              <w:rPr>
                <w:rFonts w:hint="eastAsia" w:ascii="宋体" w:hAnsi="宋体" w:eastAsia="宋体" w:cs="宋体"/>
                <w:i w:val="0"/>
                <w:iCs w:val="0"/>
                <w:color w:val="000000"/>
                <w:sz w:val="16"/>
                <w:szCs w:val="16"/>
                <w:highlight w:val="none"/>
                <w:u w:val="none"/>
              </w:rPr>
            </w:pPr>
          </w:p>
        </w:tc>
        <w:tc>
          <w:tcPr>
            <w:tcW w:w="38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D3042">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84F3C">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8F07A">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64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DA5C8">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64</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81EA9">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5B60E">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516F0">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A1700">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8F799">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2</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161A0">
            <w:pPr>
              <w:jc w:val="center"/>
              <w:rPr>
                <w:rFonts w:hint="eastAsia" w:ascii="宋体" w:hAnsi="宋体" w:eastAsia="宋体" w:cs="宋体"/>
                <w:b/>
                <w:bCs/>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AE984">
            <w:pPr>
              <w:jc w:val="center"/>
              <w:rPr>
                <w:rFonts w:hint="eastAsia" w:ascii="宋体" w:hAnsi="宋体" w:eastAsia="宋体" w:cs="宋体"/>
                <w:b/>
                <w:bCs/>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5F0DE">
            <w:pPr>
              <w:jc w:val="center"/>
              <w:rPr>
                <w:rFonts w:hint="eastAsia" w:ascii="宋体" w:hAnsi="宋体" w:eastAsia="宋体" w:cs="宋体"/>
                <w:b/>
                <w:bCs/>
                <w:i w:val="0"/>
                <w:iCs w:val="0"/>
                <w:color w:val="000000"/>
                <w:sz w:val="16"/>
                <w:szCs w:val="16"/>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5B8BB">
            <w:pPr>
              <w:jc w:val="center"/>
              <w:rPr>
                <w:rFonts w:hint="eastAsia" w:ascii="宋体" w:hAnsi="宋体" w:eastAsia="宋体" w:cs="宋体"/>
                <w:b/>
                <w:bCs/>
                <w:i w:val="0"/>
                <w:iCs w:val="0"/>
                <w:color w:val="000000"/>
                <w:sz w:val="16"/>
                <w:szCs w:val="16"/>
                <w:highlight w:val="none"/>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856C6">
            <w:pPr>
              <w:jc w:val="center"/>
              <w:rPr>
                <w:rFonts w:hint="eastAsia" w:ascii="宋体" w:hAnsi="宋体" w:eastAsia="宋体" w:cs="宋体"/>
                <w:b/>
                <w:bCs/>
                <w:i w:val="0"/>
                <w:iCs w:val="0"/>
                <w:color w:val="000000"/>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12F1D">
            <w:pPr>
              <w:jc w:val="center"/>
              <w:rPr>
                <w:rFonts w:hint="eastAsia" w:ascii="宋体" w:hAnsi="宋体" w:eastAsia="宋体" w:cs="宋体"/>
                <w:b/>
                <w:bCs/>
                <w:i w:val="0"/>
                <w:iCs w:val="0"/>
                <w:color w:val="000000"/>
                <w:sz w:val="16"/>
                <w:szCs w:val="16"/>
                <w:highlight w:val="none"/>
                <w:u w:val="none"/>
              </w:rPr>
            </w:pPr>
          </w:p>
        </w:tc>
      </w:tr>
      <w:tr w14:paraId="5424D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863EE5">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专业课</w:t>
            </w:r>
          </w:p>
        </w:tc>
        <w:tc>
          <w:tcPr>
            <w:tcW w:w="4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8D92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专业基础课</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9DB8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22</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18D7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LT20127</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70E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智能网联汽车概论</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1148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AE76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B029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9174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4358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88EE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D60E6">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42FDB">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0BF46">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C6BDE">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E3B44">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4BEF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5FB2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0274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2BFB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4C1DD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60D498">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DD2A0">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816D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2F1D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LT20111</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0FB7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新能源汽车概论</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BA47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BE33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4C19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9A45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E5AC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F944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4E3E1">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3E07">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2620C">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6F11">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58B80">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279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1C70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9FC4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F30C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516C2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1ADBA">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5E562">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CDC2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24</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384C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LT20022</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850E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汽车构造</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C5BB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EDFB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9D50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DF29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9E9C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4B62C">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C3B3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F8171">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BA810">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381D9">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F19B8">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31FA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1ED5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F709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A1D5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5BCF1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B8138">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759C0">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CC0D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25</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5A36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LT20014</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99B1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管理学基础</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F509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8A4F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A168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EE16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EA79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A6427">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2D82B">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D834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A45FE">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F978E">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C1C2E">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651C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213B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7516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4A58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2CB37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C62AE">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7EFA7">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3280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26</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FC71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LT20112</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D81F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汽车机械基础</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1D49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A55E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370A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72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52C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430E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9FC06">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57B41">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0E0F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1A1E6">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2A4EA">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5A346">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8B96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BA23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8EF3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C27D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1A65B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73B05">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6702B">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61A1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27</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4976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LT20128</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FE32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新能源汽车驱动电机及控制技术</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9AD9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6D49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69EC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72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F163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099B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D629A">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1CCA3">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1167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A208F">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5670">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E8B71">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7073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F941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CFAB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7A36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26B03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0CEC7">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D2B4D">
            <w:pPr>
              <w:jc w:val="center"/>
              <w:rPr>
                <w:rFonts w:hint="eastAsia" w:ascii="宋体" w:hAnsi="宋体" w:eastAsia="宋体" w:cs="宋体"/>
                <w:i w:val="0"/>
                <w:iCs w:val="0"/>
                <w:color w:val="000000"/>
                <w:sz w:val="16"/>
                <w:szCs w:val="16"/>
                <w:highlight w:val="none"/>
                <w:u w:val="none"/>
              </w:rPr>
            </w:pPr>
          </w:p>
        </w:tc>
        <w:tc>
          <w:tcPr>
            <w:tcW w:w="38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EDCDE">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9CA9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22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227BB">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356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70104">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178</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2CC4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178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06F53">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7A280">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863C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10</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EB2A6">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36048">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377C7">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23EEA">
            <w:pPr>
              <w:jc w:val="center"/>
              <w:rPr>
                <w:rFonts w:hint="eastAsia" w:ascii="宋体" w:hAnsi="宋体" w:eastAsia="宋体" w:cs="宋体"/>
                <w:b/>
                <w:bCs/>
                <w:i w:val="0"/>
                <w:iCs w:val="0"/>
                <w:color w:val="000000"/>
                <w:sz w:val="16"/>
                <w:szCs w:val="16"/>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342E8">
            <w:pPr>
              <w:jc w:val="center"/>
              <w:rPr>
                <w:rFonts w:hint="eastAsia" w:ascii="宋体" w:hAnsi="宋体" w:eastAsia="宋体" w:cs="宋体"/>
                <w:b/>
                <w:bCs/>
                <w:i w:val="0"/>
                <w:iCs w:val="0"/>
                <w:color w:val="000000"/>
                <w:sz w:val="16"/>
                <w:szCs w:val="16"/>
                <w:highlight w:val="none"/>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088EE">
            <w:pPr>
              <w:jc w:val="center"/>
              <w:rPr>
                <w:rFonts w:hint="eastAsia" w:ascii="宋体" w:hAnsi="宋体" w:eastAsia="宋体" w:cs="宋体"/>
                <w:b/>
                <w:bCs/>
                <w:i w:val="0"/>
                <w:iCs w:val="0"/>
                <w:color w:val="000000"/>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472E6">
            <w:pPr>
              <w:jc w:val="center"/>
              <w:rPr>
                <w:rFonts w:hint="eastAsia" w:ascii="宋体" w:hAnsi="宋体" w:eastAsia="宋体" w:cs="宋体"/>
                <w:b/>
                <w:bCs/>
                <w:i w:val="0"/>
                <w:iCs w:val="0"/>
                <w:color w:val="000000"/>
                <w:sz w:val="16"/>
                <w:szCs w:val="16"/>
                <w:highlight w:val="none"/>
                <w:u w:val="none"/>
              </w:rPr>
            </w:pPr>
          </w:p>
        </w:tc>
      </w:tr>
      <w:tr w14:paraId="76BAE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5E0854">
            <w:pPr>
              <w:jc w:val="center"/>
              <w:rPr>
                <w:rFonts w:hint="eastAsia" w:ascii="宋体" w:hAnsi="宋体" w:eastAsia="宋体" w:cs="宋体"/>
                <w:b/>
                <w:bCs/>
                <w:i w:val="0"/>
                <w:iCs w:val="0"/>
                <w:color w:val="000000"/>
                <w:sz w:val="16"/>
                <w:szCs w:val="16"/>
                <w:highlight w:val="none"/>
                <w:u w:val="none"/>
              </w:rPr>
            </w:pPr>
          </w:p>
        </w:tc>
        <w:tc>
          <w:tcPr>
            <w:tcW w:w="4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4301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专业核心课</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7503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91FD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LT20129</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3002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新能源汽车底盘系统检修</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BD4B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8368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E4A1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9538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BC37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28CB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36" w:type="dxa"/>
            <w:tcBorders>
              <w:top w:val="nil"/>
              <w:left w:val="nil"/>
              <w:bottom w:val="nil"/>
              <w:right w:val="nil"/>
            </w:tcBorders>
            <w:shd w:val="clear" w:color="auto" w:fill="auto"/>
            <w:noWrap/>
            <w:vAlign w:val="center"/>
          </w:tcPr>
          <w:p w14:paraId="0B63B795">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59D82">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5834B">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A425">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5BE81">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4E51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960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B074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A1BB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393C5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CC449">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F2FA3">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FB5E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29</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2EBA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LT20130</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41D6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汽车电气系统检修</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7C10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800F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3A57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6D11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9A51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A04CB">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1A05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472BD">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CB408">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66BC9">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40AF2">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74CC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19D7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F6F8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02BA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09C2C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28B76">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0527E">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52F3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30</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97D2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LT20131</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0E0B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新能源汽车动力蓄电池及管理系统检修</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E448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B33F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7DB1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72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CF2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6DFA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A73E0">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380E5">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AEFC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D9D96">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79406">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DAA97">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D416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0CFE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44BD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776B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是</w:t>
            </w:r>
          </w:p>
        </w:tc>
      </w:tr>
      <w:tr w14:paraId="07AA4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88A14">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AE292">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A7A4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31</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185C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LT20119</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8C86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新能源汽车检测与故障诊断技术</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4CA5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FFFE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9D84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68</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6C0D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A07C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D803F">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3AAE0">
            <w:pPr>
              <w:jc w:val="center"/>
              <w:rPr>
                <w:rFonts w:hint="eastAsia" w:ascii="宋体" w:hAnsi="宋体" w:eastAsia="宋体" w:cs="宋体"/>
                <w:i w:val="0"/>
                <w:iCs w:val="0"/>
                <w:color w:val="000000"/>
                <w:sz w:val="16"/>
                <w:szCs w:val="16"/>
                <w:highlight w:val="none"/>
                <w:u w:val="none"/>
              </w:rPr>
            </w:pPr>
          </w:p>
        </w:tc>
        <w:tc>
          <w:tcPr>
            <w:tcW w:w="504" w:type="dxa"/>
            <w:tcBorders>
              <w:top w:val="nil"/>
              <w:left w:val="nil"/>
              <w:bottom w:val="nil"/>
              <w:right w:val="nil"/>
            </w:tcBorders>
            <w:shd w:val="clear" w:color="auto" w:fill="auto"/>
            <w:noWrap/>
            <w:vAlign w:val="center"/>
          </w:tcPr>
          <w:p w14:paraId="2BE93975">
            <w:pPr>
              <w:jc w:val="center"/>
              <w:rPr>
                <w:rFonts w:hint="eastAsia" w:ascii="宋体" w:hAnsi="宋体" w:eastAsia="宋体" w:cs="宋体"/>
                <w:i w:val="0"/>
                <w:iCs w:val="0"/>
                <w:color w:val="000000"/>
                <w:sz w:val="16"/>
                <w:szCs w:val="16"/>
                <w:highlight w:val="none"/>
                <w:u w:val="none"/>
                <w:lang w:val="en-US" w:eastAsia="zh-CN"/>
              </w:rPr>
            </w:pPr>
            <w:r>
              <w:rPr>
                <w:rFonts w:hint="eastAsia" w:ascii="宋体" w:hAnsi="宋体" w:eastAsia="宋体" w:cs="宋体"/>
                <w:i w:val="0"/>
                <w:iCs w:val="0"/>
                <w:color w:val="000000"/>
                <w:sz w:val="16"/>
                <w:szCs w:val="16"/>
                <w:highlight w:val="none"/>
                <w:u w:val="none"/>
                <w:lang w:val="en-US" w:eastAsia="zh-CN"/>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2710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22F3F">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7AC66">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5E89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FF6D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675E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8404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7C239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F53F2">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E080A">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5EEA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949C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LT20132</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11A0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8"/>
                <w:szCs w:val="18"/>
                <w:highlight w:val="none"/>
                <w:u w:val="none"/>
              </w:rPr>
              <w:t>充电基础设施检测与维修</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93B3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A50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E8B3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68</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8E941">
            <w:pPr>
              <w:keepNext w:val="0"/>
              <w:keepLines w:val="0"/>
              <w:widowControl/>
              <w:suppressLineNumbers w:val="0"/>
              <w:jc w:val="center"/>
              <w:textAlignment w:val="center"/>
              <w:rPr>
                <w:rFonts w:hint="default" w:ascii="宋体" w:hAnsi="宋体" w:eastAsia="宋体" w:cs="宋体"/>
                <w:i w:val="0"/>
                <w:iCs w:val="0"/>
                <w:color w:val="000000"/>
                <w:sz w:val="16"/>
                <w:szCs w:val="16"/>
                <w:highlight w:val="none"/>
                <w:u w:val="none"/>
                <w:lang w:val="en-US"/>
              </w:rPr>
            </w:pPr>
            <w:r>
              <w:rPr>
                <w:rFonts w:hint="eastAsia" w:ascii="宋体" w:hAnsi="宋体" w:eastAsia="宋体" w:cs="宋体"/>
                <w:i w:val="0"/>
                <w:iCs w:val="0"/>
                <w:color w:val="000000"/>
                <w:kern w:val="0"/>
                <w:sz w:val="16"/>
                <w:szCs w:val="16"/>
                <w:highlight w:val="none"/>
                <w:u w:val="none"/>
                <w:lang w:val="en-US" w:eastAsia="zh-CN" w:bidi="ar"/>
              </w:rPr>
              <w:t>34</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39F6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C4802">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ACAF3">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7F825">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51C3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058DA">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4DDC2">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82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24891">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校内外</w:t>
            </w:r>
            <w:r>
              <w:rPr>
                <w:rFonts w:hint="default" w:ascii="宋体" w:hAnsi="宋体" w:eastAsia="宋体" w:cs="宋体"/>
                <w:i w:val="0"/>
                <w:iCs w:val="0"/>
                <w:color w:val="000000"/>
                <w:sz w:val="18"/>
                <w:szCs w:val="18"/>
                <w:highlight w:val="none"/>
                <w:u w:val="none"/>
                <w:lang w:val="en-US"/>
              </w:rPr>
              <w:t>基地</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6526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0F49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是</w:t>
            </w:r>
          </w:p>
        </w:tc>
      </w:tr>
      <w:tr w14:paraId="504B2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5BC48">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1C43F">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432B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33</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F4B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LT20133</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2FEE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新能源汽车整车控制技术</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D9E4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D463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BD07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68</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72D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FDC7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36776">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99887">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9BADB">
            <w:pPr>
              <w:jc w:val="center"/>
              <w:rPr>
                <w:rFonts w:hint="eastAsia" w:ascii="宋体" w:hAnsi="宋体" w:eastAsia="宋体" w:cs="宋体"/>
                <w:i w:val="0"/>
                <w:iCs w:val="0"/>
                <w:color w:val="000000"/>
                <w:sz w:val="16"/>
                <w:szCs w:val="16"/>
                <w:highlight w:val="none"/>
                <w:u w:val="none"/>
                <w:lang w:val="en-US" w:eastAsia="zh-CN"/>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261D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lang w:val="en-US" w:eastAsia="zh-CN"/>
              </w:rPr>
            </w:pPr>
            <w:r>
              <w:rPr>
                <w:rFonts w:hint="eastAsia" w:ascii="宋体" w:hAnsi="宋体" w:eastAsia="宋体" w:cs="宋体"/>
                <w:i w:val="0"/>
                <w:iCs w:val="0"/>
                <w:color w:val="000000"/>
                <w:sz w:val="16"/>
                <w:szCs w:val="16"/>
                <w:highlight w:val="none"/>
                <w:u w:val="none"/>
                <w:lang w:val="en-US" w:eastAsia="zh-CN"/>
              </w:rPr>
              <w:t>4</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C7049">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FC8BD">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4816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DAD7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BB9F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AF6B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01DAE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C5DED">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FA528">
            <w:pPr>
              <w:jc w:val="center"/>
              <w:rPr>
                <w:rFonts w:hint="eastAsia" w:ascii="宋体" w:hAnsi="宋体" w:eastAsia="宋体" w:cs="宋体"/>
                <w:i w:val="0"/>
                <w:iCs w:val="0"/>
                <w:color w:val="000000"/>
                <w:sz w:val="16"/>
                <w:szCs w:val="16"/>
                <w:highlight w:val="none"/>
                <w:u w:val="none"/>
              </w:rPr>
            </w:pPr>
          </w:p>
        </w:tc>
        <w:tc>
          <w:tcPr>
            <w:tcW w:w="38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49A37">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D77A6">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24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AF5CC">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396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E2C34">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198</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90585">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198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954B7">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2BE15">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28AF8">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C8D3B">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12</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A9EF2">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1D4E8">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035F4">
            <w:pPr>
              <w:jc w:val="center"/>
              <w:rPr>
                <w:rFonts w:hint="eastAsia" w:ascii="宋体" w:hAnsi="宋体" w:eastAsia="宋体" w:cs="宋体"/>
                <w:b/>
                <w:bCs/>
                <w:i w:val="0"/>
                <w:iCs w:val="0"/>
                <w:color w:val="000000"/>
                <w:sz w:val="16"/>
                <w:szCs w:val="16"/>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968F7">
            <w:pPr>
              <w:jc w:val="center"/>
              <w:rPr>
                <w:rFonts w:hint="eastAsia" w:ascii="宋体" w:hAnsi="宋体" w:eastAsia="宋体" w:cs="宋体"/>
                <w:b/>
                <w:bCs/>
                <w:i w:val="0"/>
                <w:iCs w:val="0"/>
                <w:color w:val="000000"/>
                <w:sz w:val="16"/>
                <w:szCs w:val="16"/>
                <w:highlight w:val="none"/>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A68EF">
            <w:pPr>
              <w:jc w:val="center"/>
              <w:rPr>
                <w:rFonts w:hint="eastAsia" w:ascii="宋体" w:hAnsi="宋体" w:eastAsia="宋体" w:cs="宋体"/>
                <w:b/>
                <w:bCs/>
                <w:i w:val="0"/>
                <w:iCs w:val="0"/>
                <w:color w:val="000000"/>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7E29A">
            <w:pPr>
              <w:jc w:val="center"/>
              <w:rPr>
                <w:rFonts w:hint="eastAsia" w:ascii="宋体" w:hAnsi="宋体" w:eastAsia="宋体" w:cs="宋体"/>
                <w:b/>
                <w:bCs/>
                <w:i w:val="0"/>
                <w:iCs w:val="0"/>
                <w:color w:val="000000"/>
                <w:sz w:val="16"/>
                <w:szCs w:val="16"/>
                <w:highlight w:val="none"/>
                <w:u w:val="none"/>
              </w:rPr>
            </w:pPr>
          </w:p>
        </w:tc>
      </w:tr>
      <w:tr w14:paraId="741CA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6CC093">
            <w:pPr>
              <w:jc w:val="center"/>
              <w:rPr>
                <w:rFonts w:hint="eastAsia" w:ascii="宋体" w:hAnsi="宋体" w:eastAsia="宋体" w:cs="宋体"/>
                <w:b/>
                <w:bCs/>
                <w:i w:val="0"/>
                <w:iCs w:val="0"/>
                <w:color w:val="000000"/>
                <w:sz w:val="16"/>
                <w:szCs w:val="16"/>
                <w:highlight w:val="none"/>
                <w:u w:val="none"/>
              </w:rPr>
            </w:pPr>
          </w:p>
        </w:tc>
        <w:tc>
          <w:tcPr>
            <w:tcW w:w="4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D730E5">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0A56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D1E4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LT20068</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536B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职场形象设计</w:t>
            </w:r>
          </w:p>
        </w:tc>
        <w:tc>
          <w:tcPr>
            <w:tcW w:w="457" w:type="dxa"/>
            <w:tcBorders>
              <w:top w:val="single" w:color="000000" w:sz="4" w:space="0"/>
              <w:left w:val="nil"/>
              <w:bottom w:val="single" w:color="000000" w:sz="4" w:space="0"/>
              <w:right w:val="single" w:color="000000" w:sz="4" w:space="0"/>
            </w:tcBorders>
            <w:shd w:val="clear" w:color="auto" w:fill="auto"/>
            <w:noWrap/>
            <w:vAlign w:val="center"/>
          </w:tcPr>
          <w:p w14:paraId="6BDC437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E9CB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1635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35F9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2797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F344E">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41CA">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3B81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575D2">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DDA32">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312E7">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207D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6B99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5F35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E2D4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210DF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BD6E7">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D56EC">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FC4A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35</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3295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LT20113</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D473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汽车文化</w:t>
            </w:r>
          </w:p>
        </w:tc>
        <w:tc>
          <w:tcPr>
            <w:tcW w:w="457" w:type="dxa"/>
            <w:tcBorders>
              <w:top w:val="single" w:color="000000" w:sz="4" w:space="0"/>
              <w:left w:val="nil"/>
              <w:bottom w:val="single" w:color="000000" w:sz="4" w:space="0"/>
              <w:right w:val="single" w:color="000000" w:sz="4" w:space="0"/>
            </w:tcBorders>
            <w:shd w:val="clear" w:color="auto" w:fill="auto"/>
            <w:noWrap/>
            <w:vAlign w:val="center"/>
          </w:tcPr>
          <w:p w14:paraId="4F1835F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BD4C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3DB8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120E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EE9B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153D1">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FE39E">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459A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349D1">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9A9F1">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E4C20">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8C0C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1BD5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1B8A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9882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763DD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EEAC2">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B5BF7">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2218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4AFB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LT20102</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448D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汽车使用与维护</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D188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0AF4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E70C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72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4608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B4FA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0C205">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012F">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AE97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BB294">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D2EA6">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2BCCE">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78C0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37D4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D851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0780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2345C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5A819">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328B6">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8C88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37</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6C5E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LT20025</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F529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汽车销售顾问实战</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4C4D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97DB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9784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72</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DBE4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1E7F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EADD9">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977F9">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D5FF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79357">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4DB60">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8B1E9">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3E81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A20D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540A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D411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是</w:t>
            </w:r>
          </w:p>
        </w:tc>
      </w:tr>
      <w:tr w14:paraId="424E6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D18F1">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89DC1">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DF78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38</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8B64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LT20101</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BCCB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职场初级实战</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491F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F4C3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CF54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108</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B732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2周</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5FAD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4周</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78607">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DFBCF">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097E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6周</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2D330">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CCF0C">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3B38">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B520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2336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企业</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1AE2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校企</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4EF3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56AFA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51982">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774A0">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B2B3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39</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F62F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LT20109</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1AE6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商业文化与素养</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A8A9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31AB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2CDD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690D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17</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A12F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17</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A2030">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1C0D8">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83E7">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3431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59EB6">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6B6CD">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667B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9FC1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2FA4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A0D9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30A13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0E97C">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3B2C20">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4E13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40</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EF13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LT20110</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9E9A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品牌管理</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C6BF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5D6A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2882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ABA8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17</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FB3C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17</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16ACD">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18DF8">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1306D">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2F6D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1CE6A">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AED87">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92A7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11A8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3B0A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CFDA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2A98D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9AD5B">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DBFB6">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0068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41</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5EB2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LT20072</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16C6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服务营销</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E81B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35E7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D84F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DE0F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17</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AD29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17</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C93E3">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D3ADC">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419BB">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D516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BC6DE">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9B046">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1467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AD88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606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80EE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55328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9A85C">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3ED797">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170C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42</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5A58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LT20115</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AF4E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汽车修复涂装技术</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F4D4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A577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22A3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AB70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17</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366D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17</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64419">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A1248">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E7C2D">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8CE7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0E3D5">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FC2EA">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D3A6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A640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F850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1038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6F859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305E3">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AC694">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C6CF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43</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2521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LT20018</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D6A2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二手车鉴定与评估</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BB15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E7DB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D630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68</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CFFC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DBD0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EE8A9">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B9627">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9E9C7">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323B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FB1CE">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39900">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B6DE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167A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3425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A19D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是</w:t>
            </w:r>
          </w:p>
        </w:tc>
      </w:tr>
      <w:tr w14:paraId="1E45E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77FF1">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7D9CE">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DBCF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44</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D44A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LT20027</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D143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汽车服务顾问实战</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D301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5A4F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064B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68</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3450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900C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53B18">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CCCDF">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ED4A0">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C667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B82DB">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FF7DB">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3317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BFFB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多媒体教室</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E6A8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6895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04F29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97C5A">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83EFD">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E646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45</w:t>
            </w:r>
          </w:p>
        </w:tc>
        <w:tc>
          <w:tcPr>
            <w:tcW w:w="9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70C5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LT20021</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1B6C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职场进阶实战</w:t>
            </w: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849A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FA93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D664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136</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057D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2周</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C1F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6周</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59F13">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EB45">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23E20">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6D03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8周</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11476">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722F2">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40A8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05AF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企业</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F12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校企</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18E7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183ED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E2EB7">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54684">
            <w:pPr>
              <w:jc w:val="center"/>
              <w:rPr>
                <w:rFonts w:hint="eastAsia" w:ascii="宋体" w:hAnsi="宋体" w:eastAsia="宋体" w:cs="宋体"/>
                <w:i w:val="0"/>
                <w:iCs w:val="0"/>
                <w:color w:val="000000"/>
                <w:sz w:val="16"/>
                <w:szCs w:val="16"/>
                <w:highlight w:val="none"/>
                <w:u w:val="none"/>
              </w:rPr>
            </w:pPr>
          </w:p>
        </w:tc>
        <w:tc>
          <w:tcPr>
            <w:tcW w:w="38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EF5A2">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56B3E">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0E332">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244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DC37F">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122</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06D91">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122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71E2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56FD9">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E9E9C">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6</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38696">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8</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B2F2E">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4515D">
            <w:pPr>
              <w:keepNext w:val="0"/>
              <w:keepLines w:val="0"/>
              <w:widowControl/>
              <w:suppressLineNumbers w:val="0"/>
              <w:jc w:val="center"/>
              <w:textAlignment w:val="center"/>
              <w:rPr>
                <w:rFonts w:hint="eastAsia" w:ascii="宋体" w:hAnsi="宋体" w:eastAsia="宋体" w:cs="宋体"/>
                <w:b/>
                <w:bCs/>
                <w:i w:val="0"/>
                <w:iCs w:val="0"/>
                <w:color w:val="000000"/>
                <w:sz w:val="16"/>
                <w:szCs w:val="16"/>
                <w:highlight w:val="none"/>
                <w:u w:val="none"/>
              </w:rPr>
            </w:pPr>
            <w:r>
              <w:rPr>
                <w:rFonts w:hint="eastAsia" w:ascii="宋体" w:hAnsi="宋体" w:eastAsia="宋体" w:cs="宋体"/>
                <w:b/>
                <w:bCs/>
                <w:i w:val="0"/>
                <w:iCs w:val="0"/>
                <w:color w:val="000000"/>
                <w:kern w:val="0"/>
                <w:sz w:val="16"/>
                <w:szCs w:val="16"/>
                <w:highlight w:val="none"/>
                <w:u w:val="none"/>
                <w:lang w:val="en-US" w:eastAsia="zh-CN" w:bidi="ar"/>
              </w:rPr>
              <w:t>0</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BC6B3">
            <w:pPr>
              <w:jc w:val="center"/>
              <w:rPr>
                <w:rFonts w:hint="eastAsia" w:ascii="宋体" w:hAnsi="宋体" w:eastAsia="宋体" w:cs="宋体"/>
                <w:b/>
                <w:bCs/>
                <w:i w:val="0"/>
                <w:iCs w:val="0"/>
                <w:color w:val="000000"/>
                <w:sz w:val="16"/>
                <w:szCs w:val="16"/>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24FD">
            <w:pPr>
              <w:jc w:val="center"/>
              <w:rPr>
                <w:rFonts w:hint="eastAsia" w:ascii="宋体" w:hAnsi="宋体" w:eastAsia="宋体" w:cs="宋体"/>
                <w:b/>
                <w:bCs/>
                <w:i w:val="0"/>
                <w:iCs w:val="0"/>
                <w:color w:val="000000"/>
                <w:sz w:val="16"/>
                <w:szCs w:val="16"/>
                <w:highlight w:val="none"/>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15A79">
            <w:pPr>
              <w:jc w:val="center"/>
              <w:rPr>
                <w:rFonts w:hint="eastAsia" w:ascii="宋体" w:hAnsi="宋体" w:eastAsia="宋体" w:cs="宋体"/>
                <w:b/>
                <w:bCs/>
                <w:i w:val="0"/>
                <w:iCs w:val="0"/>
                <w:color w:val="000000"/>
                <w:sz w:val="16"/>
                <w:szCs w:val="16"/>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7B71E">
            <w:pPr>
              <w:jc w:val="center"/>
              <w:rPr>
                <w:rFonts w:hint="eastAsia" w:ascii="宋体" w:hAnsi="宋体" w:eastAsia="宋体" w:cs="宋体"/>
                <w:b/>
                <w:bCs/>
                <w:i w:val="0"/>
                <w:iCs w:val="0"/>
                <w:color w:val="000000"/>
                <w:sz w:val="16"/>
                <w:szCs w:val="16"/>
                <w:highlight w:val="none"/>
                <w:u w:val="none"/>
              </w:rPr>
            </w:pPr>
          </w:p>
        </w:tc>
      </w:tr>
      <w:tr w14:paraId="3F9FC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4DF2B">
            <w:pPr>
              <w:jc w:val="center"/>
              <w:rPr>
                <w:rFonts w:hint="eastAsia" w:ascii="宋体" w:hAnsi="宋体" w:eastAsia="宋体" w:cs="宋体"/>
                <w:b/>
                <w:bCs/>
                <w:i w:val="0"/>
                <w:iCs w:val="0"/>
                <w:color w:val="000000"/>
                <w:sz w:val="16"/>
                <w:szCs w:val="16"/>
                <w:highlight w:val="none"/>
                <w:u w:val="none"/>
              </w:rPr>
            </w:pPr>
          </w:p>
        </w:tc>
        <w:tc>
          <w:tcPr>
            <w:tcW w:w="4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C6BC4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综合实践</w:t>
            </w: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5D44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46</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B866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JW20010</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5CFCF">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国防教育</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0CCE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5296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4028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148</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E3C8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36</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EFCA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F6D3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3周</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A6DAF">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17687">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2AFEE">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57712">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CF26E">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3857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0F8C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户外场地</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F451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学生处</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8B43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4C83B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B2B2F">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53B06">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58DC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47</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8295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JW20017</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92A6B">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校内公益服务劳动实践（值周）</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C4DE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0FB4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F7DC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EF15">
            <w:pPr>
              <w:jc w:val="center"/>
              <w:rPr>
                <w:rFonts w:hint="eastAsia" w:ascii="宋体" w:hAnsi="宋体" w:eastAsia="宋体" w:cs="宋体"/>
                <w:i w:val="0"/>
                <w:iCs w:val="0"/>
                <w:color w:val="000000"/>
                <w:sz w:val="16"/>
                <w:szCs w:val="16"/>
                <w:highlight w:val="none"/>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3CC9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C1A6E">
            <w:pP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2463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1周</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696EF">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EF15">
            <w:pP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51D40">
            <w:pP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4E9E7">
            <w:pP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B054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00AF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学校</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1973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教务处、学生处</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E037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6B455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D6A18">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E07F2">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B5E2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48</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548A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JW20011</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B9F35">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劳动专题教育必修课（网课）</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595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B</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528D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8B20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16</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239D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F444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606B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683BA">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2D9BF">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8AF09">
            <w:pP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56B2">
            <w:pP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7F49F">
            <w:pP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F6BC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考试</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463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网课</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AA2A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教务处</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471B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6387C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4F881">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586E0">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C52E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49</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196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JW20002</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79F8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社会劳动实践</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D76E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8300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0DBD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9C06D">
            <w:pPr>
              <w:jc w:val="center"/>
              <w:rPr>
                <w:rFonts w:hint="eastAsia" w:ascii="宋体" w:hAnsi="宋体" w:eastAsia="宋体" w:cs="宋体"/>
                <w:i w:val="0"/>
                <w:iCs w:val="0"/>
                <w:color w:val="000000"/>
                <w:sz w:val="16"/>
                <w:szCs w:val="16"/>
                <w:highlight w:val="none"/>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0BE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4EDF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2天</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36EE5">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9DBC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2天</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F3531">
            <w:pP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5337B">
            <w:pP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DEEBF">
            <w:pP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614B4">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过程性考核</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560B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企业</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536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各二级学院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9815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38B67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BBC44">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28A62">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BAE5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50</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F514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JW20013</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A75A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专业技能综合实训</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A0D9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1269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5185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160</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F1A77">
            <w:pPr>
              <w:jc w:val="center"/>
              <w:rPr>
                <w:rFonts w:hint="eastAsia" w:ascii="宋体" w:hAnsi="宋体" w:eastAsia="宋体" w:cs="宋体"/>
                <w:i w:val="0"/>
                <w:iCs w:val="0"/>
                <w:color w:val="000000"/>
                <w:sz w:val="16"/>
                <w:szCs w:val="16"/>
                <w:highlight w:val="none"/>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BA7B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160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0A376">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9142E">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9055C">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F5E0B">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CB02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8周</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2293D">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6E67D">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过程性考核</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73C6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企业实训基地</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BB8A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各二级学院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30E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0D847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F74B3">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46C340">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3085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51</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0546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JW20014</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575C9">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岗位实习（1）</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A05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C4CD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10</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C46E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200</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31D6B">
            <w:pPr>
              <w:jc w:val="center"/>
              <w:rPr>
                <w:rFonts w:hint="eastAsia" w:ascii="宋体" w:hAnsi="宋体" w:eastAsia="宋体" w:cs="宋体"/>
                <w:i w:val="0"/>
                <w:iCs w:val="0"/>
                <w:color w:val="000000"/>
                <w:sz w:val="16"/>
                <w:szCs w:val="16"/>
                <w:highlight w:val="none"/>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4F4F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EAF1F">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CCEF">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273E1">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5B4C">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160A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10周</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228F9">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B56B5">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过程性考核</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9BCB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企业实训基地</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BAFE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各二级学院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A6DE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018B9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01DCA">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55B1F">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60BF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52</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7A5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JW20015</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8F50D">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毕业实践报告</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FEDF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DC0E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7C2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80</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15AFF">
            <w:pPr>
              <w:jc w:val="center"/>
              <w:rPr>
                <w:rFonts w:hint="eastAsia" w:ascii="宋体" w:hAnsi="宋体" w:eastAsia="宋体" w:cs="宋体"/>
                <w:i w:val="0"/>
                <w:iCs w:val="0"/>
                <w:color w:val="000000"/>
                <w:sz w:val="16"/>
                <w:szCs w:val="16"/>
                <w:highlight w:val="none"/>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02F2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80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7BBD7">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C24A6">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8F55A">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883D2">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4A268">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BFD0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4周</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5B6B0">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过程性考核</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5499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企业及学校</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7556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各二级学院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594F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7D56F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25062">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A12A9">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D0DD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53</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21BB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JW20016</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C269C">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岗位实习（2）</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6004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253C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0373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280</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C111E">
            <w:pPr>
              <w:jc w:val="center"/>
              <w:rPr>
                <w:rFonts w:hint="eastAsia" w:ascii="宋体" w:hAnsi="宋体" w:eastAsia="宋体" w:cs="宋体"/>
                <w:i w:val="0"/>
                <w:iCs w:val="0"/>
                <w:color w:val="000000"/>
                <w:sz w:val="16"/>
                <w:szCs w:val="16"/>
                <w:highlight w:val="none"/>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0D9B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280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028A9">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E76B8">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B668F">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EF5E1">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9B1F8">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0262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14周</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DF14E">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kern w:val="0"/>
                <w:sz w:val="15"/>
                <w:szCs w:val="15"/>
                <w:highlight w:val="none"/>
                <w:u w:val="none"/>
                <w:lang w:val="en-US" w:eastAsia="zh-CN" w:bidi="ar"/>
              </w:rPr>
              <w:t>过程性考核</w:t>
            </w: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A4D2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企业实训基地</w:t>
            </w: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F15B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各二级学院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86CA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74E57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0E6E0">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A1BE38">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892E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54</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7A04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SXLT021</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CCFE2">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职业认知实训I</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AA8F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A157A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不计学分</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4C04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不占学时</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A8D2A">
            <w:pPr>
              <w:jc w:val="center"/>
              <w:rPr>
                <w:rFonts w:hint="eastAsia" w:ascii="宋体" w:hAnsi="宋体" w:eastAsia="宋体" w:cs="宋体"/>
                <w:i w:val="0"/>
                <w:iCs w:val="0"/>
                <w:color w:val="000000"/>
                <w:sz w:val="16"/>
                <w:szCs w:val="16"/>
                <w:highlight w:val="none"/>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2A44">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F54E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参观、讲座</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BCE0E">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86C10">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8B9F7">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28006">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5CE53">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120B7">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BB22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企业</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00258">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0B16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5F8DF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01BCA2">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520F6">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1587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55</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5AB3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SXLT022</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387F">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职业认知实训II</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5FB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2A1F2">
            <w:pPr>
              <w:jc w:val="center"/>
              <w:rPr>
                <w:rFonts w:hint="eastAsia" w:ascii="宋体" w:hAnsi="宋体" w:eastAsia="宋体" w:cs="宋体"/>
                <w:i w:val="0"/>
                <w:iCs w:val="0"/>
                <w:color w:val="000000"/>
                <w:sz w:val="16"/>
                <w:szCs w:val="16"/>
                <w:highlight w:val="none"/>
                <w:u w:val="none"/>
              </w:rPr>
            </w:pP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3CC00">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不占学时</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8E441">
            <w:pPr>
              <w:jc w:val="center"/>
              <w:rPr>
                <w:rFonts w:hint="eastAsia" w:ascii="宋体" w:hAnsi="宋体" w:eastAsia="宋体" w:cs="宋体"/>
                <w:i w:val="0"/>
                <w:iCs w:val="0"/>
                <w:color w:val="000000"/>
                <w:sz w:val="16"/>
                <w:szCs w:val="16"/>
                <w:highlight w:val="none"/>
                <w:u w:val="none"/>
              </w:rPr>
            </w:pP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402EB">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E61F">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3F0E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参观、讲座</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48F39">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A043A">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018F5">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88B08">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CDAE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3FEC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企业</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1EF1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954A6">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00D5C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6D212">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64891">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DC37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56</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D9C92">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SXLT026</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2C228">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情境营销与数字营销实训</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499EA">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35A1B">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50971">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30</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F802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9FA3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5D9B0">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EAC5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1周</w:t>
            </w: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A14F1">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5D98">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83FD3">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DC5E">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11CD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F7C93">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企业</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BD4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B6599">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66D4F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DF45F">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E470C">
            <w:pPr>
              <w:jc w:val="center"/>
              <w:rPr>
                <w:rFonts w:hint="eastAsia" w:ascii="宋体" w:hAnsi="宋体" w:eastAsia="宋体" w:cs="宋体"/>
                <w:i w:val="0"/>
                <w:iCs w:val="0"/>
                <w:color w:val="000000"/>
                <w:sz w:val="16"/>
                <w:szCs w:val="16"/>
                <w:highlight w:val="none"/>
                <w:u w:val="none"/>
              </w:rPr>
            </w:pPr>
          </w:p>
        </w:tc>
        <w:tc>
          <w:tcPr>
            <w:tcW w:w="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FC4C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57</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2594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SXLT029</w:t>
            </w:r>
          </w:p>
        </w:tc>
        <w:tc>
          <w:tcPr>
            <w:tcW w:w="1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0FAA0">
            <w:pPr>
              <w:keepNext w:val="0"/>
              <w:keepLines w:val="0"/>
              <w:widowControl/>
              <w:suppressLineNumbers w:val="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新能源汽车技能实训</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8D2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C</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13D64">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w:t>
            </w:r>
          </w:p>
        </w:tc>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F632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30</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FDE7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10</w:t>
            </w:r>
          </w:p>
        </w:tc>
        <w:tc>
          <w:tcPr>
            <w:tcW w:w="5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29BD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20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E1E52">
            <w:pPr>
              <w:jc w:val="center"/>
              <w:rPr>
                <w:rFonts w:hint="eastAsia" w:ascii="宋体" w:hAnsi="宋体" w:eastAsia="宋体" w:cs="宋体"/>
                <w:i w:val="0"/>
                <w:iCs w:val="0"/>
                <w:color w:val="000000"/>
                <w:sz w:val="16"/>
                <w:szCs w:val="16"/>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A79D4">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5A9C8">
            <w:pPr>
              <w:jc w:val="center"/>
              <w:rPr>
                <w:rFonts w:hint="eastAsia" w:ascii="宋体" w:hAnsi="宋体" w:eastAsia="宋体" w:cs="宋体"/>
                <w:i w:val="0"/>
                <w:iCs w:val="0"/>
                <w:color w:val="000000"/>
                <w:sz w:val="16"/>
                <w:szCs w:val="16"/>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3D61F">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1周</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9CBEE">
            <w:pPr>
              <w:jc w:val="center"/>
              <w:rPr>
                <w:rFonts w:hint="eastAsia" w:ascii="宋体" w:hAnsi="宋体" w:eastAsia="宋体" w:cs="宋体"/>
                <w:i w:val="0"/>
                <w:iCs w:val="0"/>
                <w:color w:val="000000"/>
                <w:sz w:val="16"/>
                <w:szCs w:val="16"/>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01AE">
            <w:pPr>
              <w:jc w:val="center"/>
              <w:rPr>
                <w:rFonts w:hint="eastAsia" w:ascii="宋体" w:hAnsi="宋体" w:eastAsia="宋体" w:cs="宋体"/>
                <w:i w:val="0"/>
                <w:iCs w:val="0"/>
                <w:color w:val="000000"/>
                <w:sz w:val="16"/>
                <w:szCs w:val="16"/>
                <w:highlight w:val="none"/>
                <w:u w:val="none"/>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9E90D">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考查</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1026E">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企业</w:t>
            </w:r>
          </w:p>
        </w:tc>
        <w:tc>
          <w:tcPr>
            <w:tcW w:w="13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44BC">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智慧交通学院</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EA45">
            <w:pPr>
              <w:keepNext w:val="0"/>
              <w:keepLines w:val="0"/>
              <w:widowControl/>
              <w:suppressLineNumbers w:val="0"/>
              <w:jc w:val="center"/>
              <w:textAlignment w:val="cente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kern w:val="0"/>
                <w:sz w:val="16"/>
                <w:szCs w:val="16"/>
                <w:highlight w:val="none"/>
                <w:u w:val="none"/>
                <w:lang w:val="en-US" w:eastAsia="zh-CN" w:bidi="ar"/>
              </w:rPr>
              <w:t>否</w:t>
            </w:r>
          </w:p>
        </w:tc>
      </w:tr>
      <w:tr w14:paraId="7A3FB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4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16369">
            <w:pPr>
              <w:jc w:val="center"/>
              <w:rPr>
                <w:rFonts w:hint="eastAsia" w:ascii="宋体" w:hAnsi="宋体" w:eastAsia="宋体" w:cs="宋体"/>
                <w:b/>
                <w:bCs/>
                <w:i w:val="0"/>
                <w:iCs w:val="0"/>
                <w:color w:val="000000"/>
                <w:sz w:val="16"/>
                <w:szCs w:val="16"/>
                <w:highlight w:val="none"/>
                <w:u w:val="none"/>
              </w:rPr>
            </w:pPr>
          </w:p>
        </w:tc>
        <w:tc>
          <w:tcPr>
            <w:tcW w:w="4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7EDA7">
            <w:pPr>
              <w:jc w:val="center"/>
              <w:rPr>
                <w:rFonts w:hint="eastAsia" w:ascii="宋体" w:hAnsi="宋体" w:eastAsia="宋体" w:cs="宋体"/>
                <w:i w:val="0"/>
                <w:iCs w:val="0"/>
                <w:color w:val="000000"/>
                <w:sz w:val="16"/>
                <w:szCs w:val="16"/>
                <w:highlight w:val="none"/>
                <w:u w:val="none"/>
              </w:rPr>
            </w:pPr>
          </w:p>
        </w:tc>
        <w:tc>
          <w:tcPr>
            <w:tcW w:w="381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694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小计</w:t>
            </w: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E52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46</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F40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990</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B00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64</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E24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926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980AE">
            <w:pPr>
              <w:jc w:val="center"/>
              <w:rPr>
                <w:rFonts w:hint="eastAsia" w:ascii="宋体" w:hAnsi="宋体" w:eastAsia="宋体" w:cs="宋体"/>
                <w:b/>
                <w:bCs/>
                <w:i w:val="0"/>
                <w:iCs w:val="0"/>
                <w:color w:val="000000"/>
                <w:sz w:val="18"/>
                <w:szCs w:val="18"/>
                <w:highlight w:val="none"/>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F6488">
            <w:pPr>
              <w:jc w:val="center"/>
              <w:rPr>
                <w:rFonts w:hint="eastAsia" w:ascii="宋体" w:hAnsi="宋体" w:eastAsia="宋体" w:cs="宋体"/>
                <w:b/>
                <w:bCs/>
                <w:i w:val="0"/>
                <w:iCs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13C9C">
            <w:pPr>
              <w:jc w:val="center"/>
              <w:rPr>
                <w:rFonts w:hint="eastAsia" w:ascii="宋体" w:hAnsi="宋体" w:eastAsia="宋体" w:cs="宋体"/>
                <w:b/>
                <w:bCs/>
                <w:i w:val="0"/>
                <w:iCs w:val="0"/>
                <w:color w:val="000000"/>
                <w:sz w:val="18"/>
                <w:szCs w:val="18"/>
                <w:highlight w:val="none"/>
                <w:u w:val="none"/>
              </w:rPr>
            </w:pP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33044">
            <w:pPr>
              <w:jc w:val="center"/>
              <w:rPr>
                <w:rFonts w:hint="eastAsia" w:ascii="宋体" w:hAnsi="宋体" w:eastAsia="宋体" w:cs="宋体"/>
                <w:b/>
                <w:bCs/>
                <w:i w:val="0"/>
                <w:iCs w:val="0"/>
                <w:color w:val="000000"/>
                <w:sz w:val="18"/>
                <w:szCs w:val="18"/>
                <w:highlight w:val="none"/>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198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18周</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8BB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18周</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3443D">
            <w:pPr>
              <w:jc w:val="center"/>
              <w:rPr>
                <w:rFonts w:hint="eastAsia" w:ascii="宋体" w:hAnsi="宋体" w:eastAsia="宋体" w:cs="宋体"/>
                <w:b/>
                <w:bCs/>
                <w:i w:val="0"/>
                <w:iCs w:val="0"/>
                <w:color w:val="000000"/>
                <w:sz w:val="20"/>
                <w:szCs w:val="20"/>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A6120">
            <w:pPr>
              <w:jc w:val="center"/>
              <w:rPr>
                <w:rFonts w:hint="eastAsia" w:ascii="宋体" w:hAnsi="宋体" w:eastAsia="宋体" w:cs="宋体"/>
                <w:b/>
                <w:bCs/>
                <w:i w:val="0"/>
                <w:iCs w:val="0"/>
                <w:color w:val="000000"/>
                <w:sz w:val="20"/>
                <w:szCs w:val="20"/>
                <w:highlight w:val="none"/>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F535D">
            <w:pPr>
              <w:jc w:val="center"/>
              <w:rPr>
                <w:rFonts w:hint="eastAsia" w:ascii="宋体" w:hAnsi="宋体" w:eastAsia="宋体" w:cs="宋体"/>
                <w:b/>
                <w:bCs/>
                <w:i w:val="0"/>
                <w:iCs w:val="0"/>
                <w:color w:val="000000"/>
                <w:sz w:val="20"/>
                <w:szCs w:val="20"/>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77DCA">
            <w:pPr>
              <w:jc w:val="center"/>
              <w:rPr>
                <w:rFonts w:hint="eastAsia" w:ascii="宋体" w:hAnsi="宋体" w:eastAsia="宋体" w:cs="宋体"/>
                <w:b/>
                <w:bCs/>
                <w:i w:val="0"/>
                <w:iCs w:val="0"/>
                <w:color w:val="000000"/>
                <w:sz w:val="20"/>
                <w:szCs w:val="20"/>
                <w:highlight w:val="none"/>
                <w:u w:val="none"/>
              </w:rPr>
            </w:pPr>
          </w:p>
        </w:tc>
      </w:tr>
      <w:tr w14:paraId="794BE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224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82E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总学分、总学时合计</w:t>
            </w:r>
          </w:p>
        </w:tc>
        <w:tc>
          <w:tcPr>
            <w:tcW w:w="1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F7C0C">
            <w:pPr>
              <w:jc w:val="center"/>
              <w:rPr>
                <w:rFonts w:hint="eastAsia" w:ascii="宋体" w:hAnsi="宋体" w:eastAsia="宋体" w:cs="宋体"/>
                <w:b/>
                <w:bCs/>
                <w:i w:val="0"/>
                <w:iCs w:val="0"/>
                <w:color w:val="000000"/>
                <w:sz w:val="18"/>
                <w:szCs w:val="18"/>
                <w:highlight w:val="none"/>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0084B">
            <w:pPr>
              <w:jc w:val="center"/>
              <w:rPr>
                <w:rFonts w:hint="eastAsia" w:ascii="宋体" w:hAnsi="宋体" w:eastAsia="宋体" w:cs="宋体"/>
                <w:b/>
                <w:bCs/>
                <w:i w:val="0"/>
                <w:iCs w:val="0"/>
                <w:color w:val="000000"/>
                <w:sz w:val="18"/>
                <w:szCs w:val="18"/>
                <w:highlight w:val="none"/>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337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144</w:t>
            </w:r>
          </w:p>
        </w:tc>
        <w:tc>
          <w:tcPr>
            <w:tcW w:w="5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A11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2694</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619B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972</w:t>
            </w:r>
          </w:p>
        </w:tc>
        <w:tc>
          <w:tcPr>
            <w:tcW w:w="5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A79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1754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647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23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BAB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25</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DCF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24</w:t>
            </w:r>
          </w:p>
        </w:tc>
        <w:tc>
          <w:tcPr>
            <w:tcW w:w="5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760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24</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E75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18周</w:t>
            </w:r>
          </w:p>
        </w:tc>
        <w:tc>
          <w:tcPr>
            <w:tcW w:w="6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18C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18周</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B134E">
            <w:pPr>
              <w:jc w:val="center"/>
              <w:rPr>
                <w:rFonts w:hint="eastAsia" w:ascii="宋体" w:hAnsi="宋体" w:eastAsia="宋体" w:cs="宋体"/>
                <w:b/>
                <w:bCs/>
                <w:i w:val="0"/>
                <w:iCs w:val="0"/>
                <w:color w:val="000000"/>
                <w:sz w:val="18"/>
                <w:szCs w:val="18"/>
                <w:highlight w:val="none"/>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059BB">
            <w:pPr>
              <w:jc w:val="center"/>
              <w:rPr>
                <w:rFonts w:hint="eastAsia" w:ascii="宋体" w:hAnsi="宋体" w:eastAsia="宋体" w:cs="宋体"/>
                <w:b/>
                <w:bCs/>
                <w:i w:val="0"/>
                <w:iCs w:val="0"/>
                <w:color w:val="000000"/>
                <w:sz w:val="20"/>
                <w:szCs w:val="20"/>
                <w:highlight w:val="none"/>
                <w:u w:val="none"/>
              </w:rPr>
            </w:pPr>
          </w:p>
        </w:tc>
        <w:tc>
          <w:tcPr>
            <w:tcW w:w="13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D63BB">
            <w:pPr>
              <w:jc w:val="center"/>
              <w:rPr>
                <w:rFonts w:hint="eastAsia" w:ascii="宋体" w:hAnsi="宋体" w:eastAsia="宋体" w:cs="宋体"/>
                <w:b/>
                <w:bCs/>
                <w:i w:val="0"/>
                <w:iCs w:val="0"/>
                <w:color w:val="000000"/>
                <w:sz w:val="20"/>
                <w:szCs w:val="20"/>
                <w:highlight w:val="none"/>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98384">
            <w:pPr>
              <w:rPr>
                <w:rFonts w:hint="eastAsia" w:ascii="宋体" w:hAnsi="宋体" w:eastAsia="宋体" w:cs="宋体"/>
                <w:b/>
                <w:bCs/>
                <w:i w:val="0"/>
                <w:iCs w:val="0"/>
                <w:color w:val="000000"/>
                <w:sz w:val="20"/>
                <w:szCs w:val="20"/>
                <w:highlight w:val="none"/>
                <w:u w:val="none"/>
              </w:rPr>
            </w:pPr>
          </w:p>
        </w:tc>
      </w:tr>
    </w:tbl>
    <w:p w14:paraId="2069C4C8">
      <w:pPr>
        <w:pStyle w:val="5"/>
        <w:rPr>
          <w:highlight w:val="none"/>
        </w:rPr>
        <w:sectPr>
          <w:pgSz w:w="16838" w:h="11906" w:orient="landscape"/>
          <w:pgMar w:top="1800" w:right="1440" w:bottom="1800" w:left="1440" w:header="851" w:footer="992" w:gutter="0"/>
          <w:cols w:space="425" w:num="1"/>
          <w:docGrid w:type="lines" w:linePitch="435" w:charSpace="0"/>
        </w:sectPr>
      </w:pPr>
    </w:p>
    <w:p w14:paraId="055C41FF">
      <w:pPr>
        <w:pStyle w:val="3"/>
        <w:ind w:firstLine="482"/>
        <w:rPr>
          <w:sz w:val="24"/>
          <w:szCs w:val="24"/>
          <w:highlight w:val="none"/>
        </w:rPr>
      </w:pPr>
      <w:bookmarkStart w:id="63" w:name="_Toc201407682"/>
      <w:bookmarkStart w:id="64" w:name="_Toc168736745"/>
      <w:bookmarkStart w:id="65" w:name="_Toc878"/>
      <w:r>
        <w:rPr>
          <w:rFonts w:hint="eastAsia"/>
          <w:sz w:val="24"/>
          <w:szCs w:val="24"/>
          <w:highlight w:val="none"/>
        </w:rPr>
        <w:t>（二）各类课程学时分配</w:t>
      </w:r>
      <w:bookmarkEnd w:id="63"/>
      <w:bookmarkEnd w:id="64"/>
      <w:bookmarkEnd w:id="65"/>
    </w:p>
    <w:p w14:paraId="3F5C79DA">
      <w:pPr>
        <w:overflowPunct w:val="0"/>
        <w:adjustRightInd w:val="0"/>
        <w:snapToGrid w:val="0"/>
        <w:spacing w:before="156" w:beforeLines="50" w:after="156" w:afterLines="50" w:line="360" w:lineRule="auto"/>
        <w:jc w:val="center"/>
        <w:rPr>
          <w:rFonts w:ascii="仿宋_GB2312" w:hAnsi="仿宋_GB2312" w:cs="仿宋_GB2312"/>
          <w:b/>
          <w:bCs/>
          <w:sz w:val="24"/>
          <w:szCs w:val="24"/>
          <w:highlight w:val="none"/>
        </w:rPr>
      </w:pPr>
      <w:r>
        <w:rPr>
          <w:rFonts w:hint="eastAsia" w:ascii="仿宋_GB2312" w:hAnsi="仿宋_GB2312" w:cs="仿宋_GB2312"/>
          <w:b/>
          <w:bCs/>
          <w:sz w:val="24"/>
          <w:szCs w:val="24"/>
          <w:highlight w:val="none"/>
        </w:rPr>
        <w:t>表六  新能源汽车检测与维修技术专业理论教学与实践教学学时比例表</w:t>
      </w:r>
    </w:p>
    <w:tbl>
      <w:tblPr>
        <w:tblStyle w:val="15"/>
        <w:tblW w:w="9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2741"/>
        <w:gridCol w:w="1330"/>
        <w:gridCol w:w="2470"/>
        <w:gridCol w:w="1569"/>
      </w:tblGrid>
      <w:tr w14:paraId="1D40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675" w:type="dxa"/>
            <w:gridSpan w:val="2"/>
            <w:vAlign w:val="center"/>
          </w:tcPr>
          <w:p w14:paraId="59BB6C19">
            <w:pPr>
              <w:jc w:val="center"/>
              <w:rPr>
                <w:b/>
                <w:bCs/>
                <w:sz w:val="21"/>
                <w:szCs w:val="21"/>
                <w:highlight w:val="none"/>
              </w:rPr>
            </w:pPr>
            <w:r>
              <w:rPr>
                <w:rFonts w:hint="eastAsia"/>
                <w:b/>
                <w:bCs/>
                <w:sz w:val="21"/>
                <w:szCs w:val="21"/>
                <w:highlight w:val="none"/>
              </w:rPr>
              <w:t>项目</w:t>
            </w:r>
          </w:p>
        </w:tc>
        <w:tc>
          <w:tcPr>
            <w:tcW w:w="1330" w:type="dxa"/>
            <w:vAlign w:val="center"/>
          </w:tcPr>
          <w:p w14:paraId="062ED500">
            <w:pPr>
              <w:jc w:val="center"/>
              <w:rPr>
                <w:b/>
                <w:bCs/>
                <w:sz w:val="21"/>
                <w:szCs w:val="21"/>
                <w:highlight w:val="none"/>
              </w:rPr>
            </w:pPr>
            <w:r>
              <w:rPr>
                <w:rFonts w:hint="eastAsia" w:hAnsi="宋体"/>
                <w:b/>
                <w:bCs/>
                <w:sz w:val="21"/>
                <w:szCs w:val="21"/>
                <w:highlight w:val="none"/>
              </w:rPr>
              <w:t>学时数</w:t>
            </w:r>
          </w:p>
        </w:tc>
        <w:tc>
          <w:tcPr>
            <w:tcW w:w="2470" w:type="dxa"/>
            <w:vAlign w:val="center"/>
          </w:tcPr>
          <w:p w14:paraId="4DAE1347">
            <w:pPr>
              <w:jc w:val="center"/>
              <w:rPr>
                <w:b/>
                <w:bCs/>
                <w:sz w:val="21"/>
                <w:szCs w:val="21"/>
                <w:highlight w:val="none"/>
              </w:rPr>
            </w:pPr>
            <w:r>
              <w:rPr>
                <w:rFonts w:hint="eastAsia" w:hAnsi="宋体"/>
                <w:b/>
                <w:bCs/>
                <w:sz w:val="21"/>
                <w:szCs w:val="21"/>
                <w:highlight w:val="none"/>
              </w:rPr>
              <w:t>占总学时的比例</w:t>
            </w:r>
          </w:p>
        </w:tc>
        <w:tc>
          <w:tcPr>
            <w:tcW w:w="1569" w:type="dxa"/>
            <w:vAlign w:val="center"/>
          </w:tcPr>
          <w:p w14:paraId="2A266010">
            <w:pPr>
              <w:jc w:val="center"/>
              <w:rPr>
                <w:b/>
                <w:bCs/>
                <w:sz w:val="21"/>
                <w:szCs w:val="21"/>
                <w:highlight w:val="none"/>
              </w:rPr>
            </w:pPr>
            <w:r>
              <w:rPr>
                <w:rFonts w:hint="eastAsia"/>
                <w:b/>
                <w:bCs/>
                <w:sz w:val="21"/>
                <w:szCs w:val="21"/>
                <w:highlight w:val="none"/>
              </w:rPr>
              <w:t>备注</w:t>
            </w:r>
          </w:p>
        </w:tc>
      </w:tr>
      <w:tr w14:paraId="078EB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675" w:type="dxa"/>
            <w:gridSpan w:val="2"/>
            <w:vAlign w:val="center"/>
          </w:tcPr>
          <w:p w14:paraId="3E5BEEBD">
            <w:pPr>
              <w:jc w:val="center"/>
              <w:rPr>
                <w:b/>
                <w:bCs/>
                <w:sz w:val="21"/>
                <w:szCs w:val="21"/>
                <w:highlight w:val="none"/>
              </w:rPr>
            </w:pPr>
            <w:r>
              <w:rPr>
                <w:rFonts w:hint="eastAsia" w:hAnsi="宋体"/>
                <w:b/>
                <w:bCs/>
                <w:sz w:val="21"/>
                <w:szCs w:val="21"/>
                <w:highlight w:val="none"/>
              </w:rPr>
              <w:t>理论教学时数</w:t>
            </w:r>
          </w:p>
        </w:tc>
        <w:tc>
          <w:tcPr>
            <w:tcW w:w="1330" w:type="dxa"/>
            <w:vAlign w:val="center"/>
          </w:tcPr>
          <w:p w14:paraId="67E2A665">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972</w:t>
            </w:r>
          </w:p>
        </w:tc>
        <w:tc>
          <w:tcPr>
            <w:tcW w:w="2470" w:type="dxa"/>
            <w:vAlign w:val="center"/>
          </w:tcPr>
          <w:p w14:paraId="7D165372">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36.08%</w:t>
            </w:r>
          </w:p>
        </w:tc>
        <w:tc>
          <w:tcPr>
            <w:tcW w:w="1569" w:type="dxa"/>
            <w:vAlign w:val="center"/>
          </w:tcPr>
          <w:p w14:paraId="5C8C25B0">
            <w:pPr>
              <w:jc w:val="center"/>
              <w:rPr>
                <w:sz w:val="21"/>
                <w:szCs w:val="21"/>
                <w:highlight w:val="none"/>
              </w:rPr>
            </w:pPr>
          </w:p>
        </w:tc>
      </w:tr>
      <w:tr w14:paraId="177D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34" w:type="dxa"/>
            <w:vMerge w:val="restart"/>
            <w:vAlign w:val="center"/>
          </w:tcPr>
          <w:p w14:paraId="086B1843">
            <w:pPr>
              <w:jc w:val="center"/>
              <w:rPr>
                <w:b/>
                <w:bCs/>
                <w:sz w:val="21"/>
                <w:szCs w:val="21"/>
                <w:highlight w:val="none"/>
              </w:rPr>
            </w:pPr>
            <w:r>
              <w:rPr>
                <w:rFonts w:hint="eastAsia" w:hAnsi="宋体"/>
                <w:b/>
                <w:bCs/>
                <w:sz w:val="21"/>
                <w:szCs w:val="21"/>
                <w:highlight w:val="none"/>
              </w:rPr>
              <w:t>实践教学时数</w:t>
            </w:r>
          </w:p>
        </w:tc>
        <w:tc>
          <w:tcPr>
            <w:tcW w:w="2741" w:type="dxa"/>
            <w:vAlign w:val="center"/>
          </w:tcPr>
          <w:p w14:paraId="0F8E6689">
            <w:pPr>
              <w:jc w:val="center"/>
              <w:rPr>
                <w:b/>
                <w:bCs/>
                <w:sz w:val="21"/>
                <w:szCs w:val="21"/>
                <w:highlight w:val="none"/>
              </w:rPr>
            </w:pPr>
            <w:r>
              <w:rPr>
                <w:rFonts w:hint="eastAsia"/>
                <w:b/>
                <w:bCs/>
                <w:sz w:val="21"/>
                <w:szCs w:val="21"/>
                <w:highlight w:val="none"/>
              </w:rPr>
              <w:t>课内实践教学时数</w:t>
            </w:r>
          </w:p>
        </w:tc>
        <w:tc>
          <w:tcPr>
            <w:tcW w:w="1330" w:type="dxa"/>
            <w:vAlign w:val="center"/>
          </w:tcPr>
          <w:p w14:paraId="65003EFA">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1034</w:t>
            </w:r>
          </w:p>
        </w:tc>
        <w:tc>
          <w:tcPr>
            <w:tcW w:w="2470" w:type="dxa"/>
            <w:vMerge w:val="restart"/>
            <w:vAlign w:val="center"/>
          </w:tcPr>
          <w:p w14:paraId="557CF946">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63.92%</w:t>
            </w:r>
          </w:p>
        </w:tc>
        <w:tc>
          <w:tcPr>
            <w:tcW w:w="1569" w:type="dxa"/>
            <w:vMerge w:val="restart"/>
            <w:vAlign w:val="center"/>
          </w:tcPr>
          <w:p w14:paraId="3673E752">
            <w:pPr>
              <w:jc w:val="left"/>
              <w:rPr>
                <w:sz w:val="21"/>
                <w:szCs w:val="21"/>
                <w:highlight w:val="none"/>
              </w:rPr>
            </w:pPr>
          </w:p>
        </w:tc>
      </w:tr>
      <w:tr w14:paraId="161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34" w:type="dxa"/>
            <w:vMerge w:val="continue"/>
            <w:vAlign w:val="center"/>
          </w:tcPr>
          <w:p w14:paraId="56553294">
            <w:pPr>
              <w:jc w:val="center"/>
              <w:rPr>
                <w:rFonts w:hAnsi="宋体"/>
                <w:b/>
                <w:bCs/>
                <w:sz w:val="21"/>
                <w:szCs w:val="21"/>
                <w:highlight w:val="none"/>
              </w:rPr>
            </w:pPr>
          </w:p>
        </w:tc>
        <w:tc>
          <w:tcPr>
            <w:tcW w:w="2741" w:type="dxa"/>
            <w:vAlign w:val="center"/>
          </w:tcPr>
          <w:p w14:paraId="1D823A26">
            <w:pPr>
              <w:jc w:val="center"/>
              <w:rPr>
                <w:b/>
                <w:bCs/>
                <w:sz w:val="21"/>
                <w:szCs w:val="21"/>
                <w:highlight w:val="none"/>
              </w:rPr>
            </w:pPr>
            <w:r>
              <w:rPr>
                <w:rFonts w:hint="eastAsia"/>
                <w:b/>
                <w:bCs/>
                <w:sz w:val="21"/>
                <w:szCs w:val="21"/>
                <w:highlight w:val="none"/>
              </w:rPr>
              <w:t>职业综合技能训练</w:t>
            </w:r>
          </w:p>
        </w:tc>
        <w:tc>
          <w:tcPr>
            <w:tcW w:w="1330" w:type="dxa"/>
            <w:vAlign w:val="center"/>
          </w:tcPr>
          <w:p w14:paraId="27FD8A3D">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160</w:t>
            </w:r>
          </w:p>
        </w:tc>
        <w:tc>
          <w:tcPr>
            <w:tcW w:w="2470" w:type="dxa"/>
            <w:vMerge w:val="continue"/>
            <w:vAlign w:val="center"/>
          </w:tcPr>
          <w:p w14:paraId="44AD161C">
            <w:pPr>
              <w:jc w:val="center"/>
              <w:rPr>
                <w:rFonts w:hint="eastAsia" w:ascii="仿宋_GB2312" w:hAnsi="仿宋_GB2312" w:cs="仿宋_GB2312"/>
                <w:bCs/>
                <w:sz w:val="21"/>
                <w:szCs w:val="21"/>
                <w:highlight w:val="none"/>
              </w:rPr>
            </w:pPr>
          </w:p>
        </w:tc>
        <w:tc>
          <w:tcPr>
            <w:tcW w:w="1569" w:type="dxa"/>
            <w:vMerge w:val="continue"/>
            <w:vAlign w:val="center"/>
          </w:tcPr>
          <w:p w14:paraId="3F3602BE">
            <w:pPr>
              <w:jc w:val="center"/>
              <w:rPr>
                <w:sz w:val="21"/>
                <w:szCs w:val="21"/>
                <w:highlight w:val="none"/>
              </w:rPr>
            </w:pPr>
          </w:p>
        </w:tc>
      </w:tr>
      <w:tr w14:paraId="1E924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34" w:type="dxa"/>
            <w:vMerge w:val="continue"/>
            <w:vAlign w:val="center"/>
          </w:tcPr>
          <w:p w14:paraId="1B3580D6">
            <w:pPr>
              <w:jc w:val="center"/>
              <w:rPr>
                <w:rFonts w:hAnsi="宋体"/>
                <w:b/>
                <w:bCs/>
                <w:sz w:val="21"/>
                <w:szCs w:val="21"/>
                <w:highlight w:val="none"/>
              </w:rPr>
            </w:pPr>
          </w:p>
        </w:tc>
        <w:tc>
          <w:tcPr>
            <w:tcW w:w="2741" w:type="dxa"/>
            <w:vAlign w:val="center"/>
          </w:tcPr>
          <w:p w14:paraId="6E9C61FD">
            <w:pPr>
              <w:jc w:val="center"/>
              <w:rPr>
                <w:b/>
                <w:bCs/>
                <w:sz w:val="21"/>
                <w:szCs w:val="21"/>
                <w:highlight w:val="none"/>
              </w:rPr>
            </w:pPr>
            <w:r>
              <w:rPr>
                <w:rFonts w:hint="eastAsia"/>
                <w:b/>
                <w:bCs/>
                <w:sz w:val="21"/>
                <w:szCs w:val="21"/>
                <w:highlight w:val="none"/>
              </w:rPr>
              <w:t>岗位实习</w:t>
            </w:r>
          </w:p>
        </w:tc>
        <w:tc>
          <w:tcPr>
            <w:tcW w:w="1330" w:type="dxa"/>
            <w:vAlign w:val="center"/>
          </w:tcPr>
          <w:p w14:paraId="0068155C">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480</w:t>
            </w:r>
          </w:p>
        </w:tc>
        <w:tc>
          <w:tcPr>
            <w:tcW w:w="2470" w:type="dxa"/>
            <w:vMerge w:val="continue"/>
            <w:vAlign w:val="center"/>
          </w:tcPr>
          <w:p w14:paraId="34081402">
            <w:pPr>
              <w:jc w:val="center"/>
              <w:rPr>
                <w:rFonts w:hint="eastAsia" w:ascii="仿宋_GB2312" w:hAnsi="仿宋_GB2312" w:cs="仿宋_GB2312"/>
                <w:bCs/>
                <w:sz w:val="21"/>
                <w:szCs w:val="21"/>
                <w:highlight w:val="none"/>
              </w:rPr>
            </w:pPr>
          </w:p>
        </w:tc>
        <w:tc>
          <w:tcPr>
            <w:tcW w:w="1569" w:type="dxa"/>
            <w:vMerge w:val="continue"/>
            <w:vAlign w:val="center"/>
          </w:tcPr>
          <w:p w14:paraId="34F4634D">
            <w:pPr>
              <w:jc w:val="center"/>
              <w:rPr>
                <w:sz w:val="21"/>
                <w:szCs w:val="21"/>
                <w:highlight w:val="none"/>
              </w:rPr>
            </w:pPr>
          </w:p>
        </w:tc>
      </w:tr>
      <w:tr w14:paraId="024B9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34" w:type="dxa"/>
            <w:vMerge w:val="continue"/>
            <w:vAlign w:val="center"/>
          </w:tcPr>
          <w:p w14:paraId="6D120D7F">
            <w:pPr>
              <w:jc w:val="center"/>
              <w:rPr>
                <w:rFonts w:hAnsi="宋体"/>
                <w:b/>
                <w:bCs/>
                <w:sz w:val="21"/>
                <w:szCs w:val="21"/>
                <w:highlight w:val="none"/>
              </w:rPr>
            </w:pPr>
          </w:p>
        </w:tc>
        <w:tc>
          <w:tcPr>
            <w:tcW w:w="2741" w:type="dxa"/>
            <w:vAlign w:val="center"/>
          </w:tcPr>
          <w:p w14:paraId="689C9FC5">
            <w:pPr>
              <w:jc w:val="center"/>
              <w:rPr>
                <w:b/>
                <w:bCs/>
                <w:sz w:val="21"/>
                <w:szCs w:val="21"/>
                <w:highlight w:val="none"/>
              </w:rPr>
            </w:pPr>
            <w:r>
              <w:rPr>
                <w:rFonts w:hint="eastAsia"/>
                <w:b/>
                <w:bCs/>
                <w:sz w:val="21"/>
                <w:szCs w:val="21"/>
                <w:highlight w:val="none"/>
              </w:rPr>
              <w:t>毕业实践报告</w:t>
            </w:r>
          </w:p>
        </w:tc>
        <w:tc>
          <w:tcPr>
            <w:tcW w:w="1330" w:type="dxa"/>
            <w:vAlign w:val="center"/>
          </w:tcPr>
          <w:p w14:paraId="5BAA324A">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80</w:t>
            </w:r>
          </w:p>
        </w:tc>
        <w:tc>
          <w:tcPr>
            <w:tcW w:w="2470" w:type="dxa"/>
            <w:vMerge w:val="continue"/>
            <w:vAlign w:val="center"/>
          </w:tcPr>
          <w:p w14:paraId="2B58260A">
            <w:pPr>
              <w:jc w:val="center"/>
              <w:rPr>
                <w:rFonts w:hint="eastAsia" w:ascii="仿宋_GB2312" w:hAnsi="仿宋_GB2312" w:cs="仿宋_GB2312"/>
                <w:bCs/>
                <w:sz w:val="21"/>
                <w:szCs w:val="21"/>
                <w:highlight w:val="none"/>
              </w:rPr>
            </w:pPr>
          </w:p>
        </w:tc>
        <w:tc>
          <w:tcPr>
            <w:tcW w:w="1569" w:type="dxa"/>
            <w:vMerge w:val="continue"/>
            <w:vAlign w:val="center"/>
          </w:tcPr>
          <w:p w14:paraId="6FB80959">
            <w:pPr>
              <w:jc w:val="center"/>
              <w:rPr>
                <w:sz w:val="21"/>
                <w:szCs w:val="21"/>
                <w:highlight w:val="none"/>
              </w:rPr>
            </w:pPr>
          </w:p>
        </w:tc>
      </w:tr>
      <w:tr w14:paraId="0BA0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34" w:type="dxa"/>
            <w:vMerge w:val="continue"/>
            <w:vAlign w:val="center"/>
          </w:tcPr>
          <w:p w14:paraId="284497D5">
            <w:pPr>
              <w:jc w:val="center"/>
              <w:rPr>
                <w:rFonts w:hAnsi="宋体"/>
                <w:b/>
                <w:bCs/>
                <w:sz w:val="21"/>
                <w:szCs w:val="21"/>
                <w:highlight w:val="none"/>
              </w:rPr>
            </w:pPr>
          </w:p>
        </w:tc>
        <w:tc>
          <w:tcPr>
            <w:tcW w:w="2741" w:type="dxa"/>
            <w:vAlign w:val="center"/>
          </w:tcPr>
          <w:p w14:paraId="6A819774">
            <w:pPr>
              <w:jc w:val="center"/>
              <w:rPr>
                <w:b/>
                <w:bCs/>
                <w:sz w:val="21"/>
                <w:szCs w:val="21"/>
                <w:highlight w:val="none"/>
              </w:rPr>
            </w:pPr>
            <w:r>
              <w:rPr>
                <w:rFonts w:hint="eastAsia"/>
                <w:b/>
                <w:bCs/>
                <w:sz w:val="21"/>
                <w:szCs w:val="21"/>
                <w:highlight w:val="none"/>
              </w:rPr>
              <w:t>合计</w:t>
            </w:r>
          </w:p>
        </w:tc>
        <w:tc>
          <w:tcPr>
            <w:tcW w:w="1330" w:type="dxa"/>
            <w:vAlign w:val="center"/>
          </w:tcPr>
          <w:p w14:paraId="089C1C27">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1754</w:t>
            </w:r>
          </w:p>
        </w:tc>
        <w:tc>
          <w:tcPr>
            <w:tcW w:w="2470" w:type="dxa"/>
            <w:vMerge w:val="continue"/>
            <w:vAlign w:val="center"/>
          </w:tcPr>
          <w:p w14:paraId="67F0C3EE">
            <w:pPr>
              <w:jc w:val="center"/>
              <w:rPr>
                <w:rFonts w:hint="eastAsia" w:ascii="仿宋_GB2312" w:hAnsi="仿宋_GB2312" w:cs="仿宋_GB2312"/>
                <w:bCs/>
                <w:sz w:val="21"/>
                <w:szCs w:val="21"/>
                <w:highlight w:val="none"/>
              </w:rPr>
            </w:pPr>
          </w:p>
        </w:tc>
        <w:tc>
          <w:tcPr>
            <w:tcW w:w="1569" w:type="dxa"/>
            <w:vMerge w:val="continue"/>
            <w:vAlign w:val="center"/>
          </w:tcPr>
          <w:p w14:paraId="1A997168">
            <w:pPr>
              <w:jc w:val="center"/>
              <w:rPr>
                <w:sz w:val="21"/>
                <w:szCs w:val="21"/>
                <w:highlight w:val="none"/>
              </w:rPr>
            </w:pPr>
          </w:p>
        </w:tc>
      </w:tr>
      <w:tr w14:paraId="7EE5F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3675" w:type="dxa"/>
            <w:gridSpan w:val="2"/>
            <w:vAlign w:val="center"/>
          </w:tcPr>
          <w:p w14:paraId="233C1B14">
            <w:pPr>
              <w:jc w:val="center"/>
              <w:rPr>
                <w:b/>
                <w:bCs/>
                <w:sz w:val="21"/>
                <w:szCs w:val="21"/>
                <w:highlight w:val="none"/>
              </w:rPr>
            </w:pPr>
            <w:r>
              <w:rPr>
                <w:rFonts w:hint="eastAsia" w:hAnsi="宋体"/>
                <w:b/>
                <w:bCs/>
                <w:sz w:val="21"/>
                <w:szCs w:val="21"/>
                <w:highlight w:val="none"/>
              </w:rPr>
              <w:t>总学时</w:t>
            </w:r>
          </w:p>
        </w:tc>
        <w:tc>
          <w:tcPr>
            <w:tcW w:w="1330" w:type="dxa"/>
            <w:vAlign w:val="center"/>
          </w:tcPr>
          <w:p w14:paraId="53E797EB">
            <w:pPr>
              <w:jc w:val="center"/>
              <w:rPr>
                <w:rFonts w:hint="eastAsia" w:ascii="仿宋_GB2312" w:hAnsi="仿宋_GB2312" w:cs="仿宋_GB2312"/>
                <w:b/>
                <w:bCs w:val="0"/>
                <w:sz w:val="21"/>
                <w:szCs w:val="21"/>
                <w:highlight w:val="none"/>
              </w:rPr>
            </w:pPr>
            <w:r>
              <w:rPr>
                <w:rFonts w:hint="eastAsia" w:ascii="仿宋_GB2312" w:hAnsi="仿宋_GB2312" w:cs="仿宋_GB2312"/>
                <w:b/>
                <w:bCs w:val="0"/>
                <w:sz w:val="21"/>
                <w:szCs w:val="21"/>
                <w:highlight w:val="none"/>
              </w:rPr>
              <w:t>2694</w:t>
            </w:r>
          </w:p>
        </w:tc>
        <w:tc>
          <w:tcPr>
            <w:tcW w:w="2470" w:type="dxa"/>
            <w:vAlign w:val="center"/>
          </w:tcPr>
          <w:p w14:paraId="76BC0169">
            <w:pPr>
              <w:jc w:val="center"/>
              <w:rPr>
                <w:rFonts w:hint="eastAsia" w:ascii="仿宋_GB2312" w:hAnsi="仿宋_GB2312" w:cs="仿宋_GB2312"/>
                <w:b/>
                <w:bCs w:val="0"/>
                <w:sz w:val="21"/>
                <w:szCs w:val="21"/>
                <w:highlight w:val="none"/>
              </w:rPr>
            </w:pPr>
            <w:r>
              <w:rPr>
                <w:rFonts w:hint="eastAsia" w:ascii="仿宋_GB2312" w:hAnsi="仿宋_GB2312" w:cs="仿宋_GB2312"/>
                <w:b/>
                <w:bCs w:val="0"/>
                <w:sz w:val="21"/>
                <w:szCs w:val="21"/>
                <w:highlight w:val="none"/>
              </w:rPr>
              <w:t>100%</w:t>
            </w:r>
          </w:p>
        </w:tc>
        <w:tc>
          <w:tcPr>
            <w:tcW w:w="1569" w:type="dxa"/>
            <w:vAlign w:val="center"/>
          </w:tcPr>
          <w:p w14:paraId="258F20B1">
            <w:pPr>
              <w:jc w:val="center"/>
              <w:rPr>
                <w:sz w:val="21"/>
                <w:szCs w:val="21"/>
                <w:highlight w:val="none"/>
              </w:rPr>
            </w:pPr>
          </w:p>
        </w:tc>
      </w:tr>
    </w:tbl>
    <w:p w14:paraId="564491E8">
      <w:pPr>
        <w:overflowPunct w:val="0"/>
        <w:adjustRightInd w:val="0"/>
        <w:snapToGrid w:val="0"/>
        <w:spacing w:before="156" w:beforeLines="50" w:after="156" w:afterLines="50" w:line="360" w:lineRule="auto"/>
        <w:jc w:val="center"/>
        <w:rPr>
          <w:rFonts w:ascii="仿宋_GB2312" w:hAnsi="仿宋_GB2312" w:cs="仿宋_GB2312"/>
          <w:b/>
          <w:bCs/>
          <w:sz w:val="24"/>
          <w:szCs w:val="24"/>
          <w:highlight w:val="none"/>
        </w:rPr>
      </w:pPr>
      <w:r>
        <w:rPr>
          <w:rFonts w:hint="eastAsia" w:ascii="仿宋_GB2312" w:hAnsi="仿宋_GB2312" w:cs="仿宋_GB2312"/>
          <w:b/>
          <w:bCs/>
          <w:sz w:val="24"/>
          <w:szCs w:val="24"/>
          <w:highlight w:val="none"/>
        </w:rPr>
        <w:t>表七  新能源汽车检测与维修技术专业学时表</w:t>
      </w:r>
    </w:p>
    <w:tbl>
      <w:tblPr>
        <w:tblStyle w:val="15"/>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8"/>
        <w:gridCol w:w="3045"/>
        <w:gridCol w:w="1538"/>
        <w:gridCol w:w="1538"/>
        <w:gridCol w:w="1399"/>
      </w:tblGrid>
      <w:tr w14:paraId="7FFD7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518" w:type="dxa"/>
            <w:vAlign w:val="center"/>
          </w:tcPr>
          <w:p w14:paraId="1F9E601A">
            <w:pPr>
              <w:jc w:val="center"/>
              <w:rPr>
                <w:rFonts w:hAnsi="宋体"/>
                <w:b/>
                <w:sz w:val="21"/>
                <w:szCs w:val="21"/>
                <w:highlight w:val="none"/>
              </w:rPr>
            </w:pPr>
            <w:r>
              <w:rPr>
                <w:rFonts w:hint="eastAsia" w:hAnsi="宋体"/>
                <w:b/>
                <w:sz w:val="21"/>
                <w:szCs w:val="21"/>
                <w:highlight w:val="none"/>
              </w:rPr>
              <w:t>课程类别</w:t>
            </w:r>
          </w:p>
        </w:tc>
        <w:tc>
          <w:tcPr>
            <w:tcW w:w="3045" w:type="dxa"/>
            <w:vAlign w:val="center"/>
          </w:tcPr>
          <w:p w14:paraId="19D991BA">
            <w:pPr>
              <w:jc w:val="center"/>
              <w:rPr>
                <w:b/>
                <w:sz w:val="21"/>
                <w:szCs w:val="21"/>
                <w:highlight w:val="none"/>
              </w:rPr>
            </w:pPr>
            <w:r>
              <w:rPr>
                <w:rFonts w:hint="eastAsia" w:hAnsi="宋体"/>
                <w:b/>
                <w:sz w:val="21"/>
                <w:szCs w:val="21"/>
                <w:highlight w:val="none"/>
              </w:rPr>
              <w:t>课程模块</w:t>
            </w:r>
          </w:p>
        </w:tc>
        <w:tc>
          <w:tcPr>
            <w:tcW w:w="1538" w:type="dxa"/>
            <w:vAlign w:val="center"/>
          </w:tcPr>
          <w:p w14:paraId="4AB83C99">
            <w:pPr>
              <w:jc w:val="center"/>
              <w:rPr>
                <w:rFonts w:hAnsi="宋体"/>
                <w:b/>
                <w:sz w:val="21"/>
                <w:szCs w:val="21"/>
                <w:highlight w:val="none"/>
              </w:rPr>
            </w:pPr>
            <w:r>
              <w:rPr>
                <w:rFonts w:hint="eastAsia" w:hAnsi="宋体"/>
                <w:b/>
                <w:sz w:val="21"/>
                <w:szCs w:val="21"/>
                <w:highlight w:val="none"/>
              </w:rPr>
              <w:t>课程门数</w:t>
            </w:r>
          </w:p>
        </w:tc>
        <w:tc>
          <w:tcPr>
            <w:tcW w:w="1538" w:type="dxa"/>
            <w:vAlign w:val="center"/>
          </w:tcPr>
          <w:p w14:paraId="18F9A3FC">
            <w:pPr>
              <w:jc w:val="center"/>
              <w:rPr>
                <w:rFonts w:hAnsi="宋体"/>
                <w:b/>
                <w:sz w:val="21"/>
                <w:szCs w:val="21"/>
                <w:highlight w:val="none"/>
              </w:rPr>
            </w:pPr>
            <w:r>
              <w:rPr>
                <w:rFonts w:hint="eastAsia" w:hAnsi="宋体"/>
                <w:b/>
                <w:sz w:val="21"/>
                <w:szCs w:val="21"/>
                <w:highlight w:val="none"/>
              </w:rPr>
              <w:t>学时数</w:t>
            </w:r>
          </w:p>
        </w:tc>
        <w:tc>
          <w:tcPr>
            <w:tcW w:w="1399" w:type="dxa"/>
            <w:vAlign w:val="center"/>
          </w:tcPr>
          <w:p w14:paraId="3C14AB53">
            <w:pPr>
              <w:jc w:val="center"/>
              <w:rPr>
                <w:rFonts w:hAnsi="宋体"/>
                <w:b/>
                <w:sz w:val="21"/>
                <w:szCs w:val="21"/>
                <w:highlight w:val="none"/>
              </w:rPr>
            </w:pPr>
            <w:r>
              <w:rPr>
                <w:rFonts w:hint="eastAsia" w:hAnsi="宋体"/>
                <w:b/>
                <w:sz w:val="21"/>
                <w:szCs w:val="21"/>
                <w:highlight w:val="none"/>
              </w:rPr>
              <w:t>所占比例</w:t>
            </w:r>
          </w:p>
        </w:tc>
      </w:tr>
      <w:tr w14:paraId="1AC2D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1518" w:type="dxa"/>
            <w:vMerge w:val="restart"/>
            <w:vAlign w:val="center"/>
          </w:tcPr>
          <w:p w14:paraId="391EB986">
            <w:pPr>
              <w:jc w:val="center"/>
              <w:rPr>
                <w:rFonts w:hAnsi="宋体"/>
                <w:b/>
                <w:sz w:val="21"/>
                <w:szCs w:val="21"/>
                <w:highlight w:val="none"/>
              </w:rPr>
            </w:pPr>
            <w:r>
              <w:rPr>
                <w:rFonts w:hint="eastAsia" w:hAnsi="宋体"/>
                <w:b/>
                <w:sz w:val="21"/>
                <w:szCs w:val="21"/>
                <w:highlight w:val="none"/>
              </w:rPr>
              <w:t>必修</w:t>
            </w:r>
          </w:p>
        </w:tc>
        <w:tc>
          <w:tcPr>
            <w:tcW w:w="3045" w:type="dxa"/>
            <w:vAlign w:val="center"/>
          </w:tcPr>
          <w:p w14:paraId="6AC00A7E">
            <w:pPr>
              <w:jc w:val="center"/>
              <w:rPr>
                <w:b/>
                <w:sz w:val="21"/>
                <w:szCs w:val="21"/>
                <w:highlight w:val="none"/>
              </w:rPr>
            </w:pPr>
            <w:r>
              <w:rPr>
                <w:rFonts w:hint="eastAsia" w:hAnsi="宋体"/>
                <w:b/>
                <w:sz w:val="21"/>
                <w:szCs w:val="21"/>
                <w:highlight w:val="none"/>
              </w:rPr>
              <w:t>公共基础课</w:t>
            </w:r>
          </w:p>
        </w:tc>
        <w:tc>
          <w:tcPr>
            <w:tcW w:w="1538" w:type="dxa"/>
            <w:shd w:val="clear" w:color="auto" w:fill="auto"/>
            <w:vAlign w:val="center"/>
          </w:tcPr>
          <w:p w14:paraId="645F622E">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17</w:t>
            </w:r>
          </w:p>
        </w:tc>
        <w:tc>
          <w:tcPr>
            <w:tcW w:w="1538" w:type="dxa"/>
            <w:shd w:val="clear" w:color="auto" w:fill="auto"/>
            <w:vAlign w:val="center"/>
          </w:tcPr>
          <w:p w14:paraId="3A4679D2">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644</w:t>
            </w:r>
          </w:p>
        </w:tc>
        <w:tc>
          <w:tcPr>
            <w:tcW w:w="1399" w:type="dxa"/>
            <w:vAlign w:val="center"/>
          </w:tcPr>
          <w:p w14:paraId="3CBC3179">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23.90%</w:t>
            </w:r>
          </w:p>
        </w:tc>
      </w:tr>
      <w:tr w14:paraId="0C22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1518" w:type="dxa"/>
            <w:vMerge w:val="continue"/>
            <w:vAlign w:val="center"/>
          </w:tcPr>
          <w:p w14:paraId="3F4D3862">
            <w:pPr>
              <w:jc w:val="center"/>
              <w:rPr>
                <w:rFonts w:hAnsi="宋体"/>
                <w:b/>
                <w:sz w:val="21"/>
                <w:szCs w:val="21"/>
                <w:highlight w:val="none"/>
              </w:rPr>
            </w:pPr>
          </w:p>
        </w:tc>
        <w:tc>
          <w:tcPr>
            <w:tcW w:w="3045" w:type="dxa"/>
            <w:vAlign w:val="center"/>
          </w:tcPr>
          <w:p w14:paraId="1078DCA6">
            <w:pPr>
              <w:jc w:val="center"/>
              <w:rPr>
                <w:b/>
                <w:sz w:val="21"/>
                <w:szCs w:val="21"/>
                <w:highlight w:val="none"/>
              </w:rPr>
            </w:pPr>
            <w:r>
              <w:rPr>
                <w:rFonts w:hint="eastAsia" w:hAnsi="宋体"/>
                <w:b/>
                <w:sz w:val="21"/>
                <w:szCs w:val="21"/>
                <w:highlight w:val="none"/>
              </w:rPr>
              <w:t>专业基础课</w:t>
            </w:r>
          </w:p>
        </w:tc>
        <w:tc>
          <w:tcPr>
            <w:tcW w:w="1538" w:type="dxa"/>
            <w:shd w:val="clear" w:color="auto" w:fill="auto"/>
            <w:vAlign w:val="center"/>
          </w:tcPr>
          <w:p w14:paraId="07B58601">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6</w:t>
            </w:r>
          </w:p>
        </w:tc>
        <w:tc>
          <w:tcPr>
            <w:tcW w:w="1538" w:type="dxa"/>
            <w:shd w:val="clear" w:color="auto" w:fill="auto"/>
            <w:vAlign w:val="center"/>
          </w:tcPr>
          <w:p w14:paraId="59E28298">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356</w:t>
            </w:r>
          </w:p>
        </w:tc>
        <w:tc>
          <w:tcPr>
            <w:tcW w:w="1399" w:type="dxa"/>
            <w:vAlign w:val="center"/>
          </w:tcPr>
          <w:p w14:paraId="61B8DDD4">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13.21%</w:t>
            </w:r>
          </w:p>
        </w:tc>
      </w:tr>
      <w:tr w14:paraId="3177C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1518" w:type="dxa"/>
            <w:vMerge w:val="continue"/>
            <w:vAlign w:val="center"/>
          </w:tcPr>
          <w:p w14:paraId="3510EC9B">
            <w:pPr>
              <w:jc w:val="center"/>
              <w:rPr>
                <w:rFonts w:hAnsi="宋体"/>
                <w:b/>
                <w:sz w:val="21"/>
                <w:szCs w:val="21"/>
                <w:highlight w:val="none"/>
              </w:rPr>
            </w:pPr>
          </w:p>
        </w:tc>
        <w:tc>
          <w:tcPr>
            <w:tcW w:w="3045" w:type="dxa"/>
            <w:vAlign w:val="center"/>
          </w:tcPr>
          <w:p w14:paraId="6551D265">
            <w:pPr>
              <w:jc w:val="center"/>
              <w:rPr>
                <w:b/>
                <w:sz w:val="21"/>
                <w:szCs w:val="21"/>
                <w:highlight w:val="none"/>
              </w:rPr>
            </w:pPr>
            <w:r>
              <w:rPr>
                <w:rFonts w:hint="eastAsia" w:hAnsi="宋体"/>
                <w:b/>
                <w:sz w:val="21"/>
                <w:szCs w:val="21"/>
                <w:highlight w:val="none"/>
              </w:rPr>
              <w:t>专业核心课</w:t>
            </w:r>
          </w:p>
        </w:tc>
        <w:tc>
          <w:tcPr>
            <w:tcW w:w="1538" w:type="dxa"/>
            <w:shd w:val="clear" w:color="auto" w:fill="auto"/>
            <w:vAlign w:val="center"/>
          </w:tcPr>
          <w:p w14:paraId="0F014F9A">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6</w:t>
            </w:r>
          </w:p>
        </w:tc>
        <w:tc>
          <w:tcPr>
            <w:tcW w:w="1538" w:type="dxa"/>
            <w:shd w:val="clear" w:color="auto" w:fill="auto"/>
            <w:vAlign w:val="center"/>
          </w:tcPr>
          <w:p w14:paraId="4057716E">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396</w:t>
            </w:r>
          </w:p>
        </w:tc>
        <w:tc>
          <w:tcPr>
            <w:tcW w:w="1399" w:type="dxa"/>
            <w:vAlign w:val="center"/>
          </w:tcPr>
          <w:p w14:paraId="75A7626C">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14.70%</w:t>
            </w:r>
          </w:p>
        </w:tc>
      </w:tr>
      <w:tr w14:paraId="34C0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1518" w:type="dxa"/>
            <w:vMerge w:val="continue"/>
            <w:vAlign w:val="center"/>
          </w:tcPr>
          <w:p w14:paraId="5AC56773">
            <w:pPr>
              <w:jc w:val="center"/>
              <w:rPr>
                <w:rFonts w:hAnsi="宋体"/>
                <w:b/>
                <w:sz w:val="21"/>
                <w:szCs w:val="21"/>
                <w:highlight w:val="none"/>
              </w:rPr>
            </w:pPr>
          </w:p>
        </w:tc>
        <w:tc>
          <w:tcPr>
            <w:tcW w:w="3045" w:type="dxa"/>
            <w:vAlign w:val="center"/>
          </w:tcPr>
          <w:p w14:paraId="621EA076">
            <w:pPr>
              <w:jc w:val="center"/>
              <w:rPr>
                <w:rFonts w:hAnsi="宋体"/>
                <w:b/>
                <w:sz w:val="21"/>
                <w:szCs w:val="21"/>
                <w:highlight w:val="none"/>
              </w:rPr>
            </w:pPr>
            <w:r>
              <w:rPr>
                <w:rFonts w:hint="eastAsia" w:hAnsi="宋体"/>
                <w:b/>
                <w:sz w:val="21"/>
                <w:szCs w:val="21"/>
                <w:highlight w:val="none"/>
              </w:rPr>
              <w:t>综合实践课</w:t>
            </w:r>
          </w:p>
        </w:tc>
        <w:tc>
          <w:tcPr>
            <w:tcW w:w="1538" w:type="dxa"/>
            <w:shd w:val="clear" w:color="auto" w:fill="auto"/>
            <w:vAlign w:val="center"/>
          </w:tcPr>
          <w:p w14:paraId="4BFEA81B">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12</w:t>
            </w:r>
          </w:p>
        </w:tc>
        <w:tc>
          <w:tcPr>
            <w:tcW w:w="1538" w:type="dxa"/>
            <w:shd w:val="clear" w:color="auto" w:fill="auto"/>
            <w:vAlign w:val="center"/>
          </w:tcPr>
          <w:p w14:paraId="0383FA77">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990</w:t>
            </w:r>
          </w:p>
        </w:tc>
        <w:tc>
          <w:tcPr>
            <w:tcW w:w="1399" w:type="dxa"/>
            <w:vAlign w:val="center"/>
          </w:tcPr>
          <w:p w14:paraId="792C54DC">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36.75%</w:t>
            </w:r>
          </w:p>
        </w:tc>
      </w:tr>
      <w:tr w14:paraId="734AC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1518" w:type="dxa"/>
            <w:vMerge w:val="restart"/>
            <w:vAlign w:val="center"/>
          </w:tcPr>
          <w:p w14:paraId="55362284">
            <w:pPr>
              <w:jc w:val="center"/>
              <w:rPr>
                <w:rFonts w:hAnsi="宋体"/>
                <w:b/>
                <w:sz w:val="21"/>
                <w:szCs w:val="21"/>
                <w:highlight w:val="none"/>
              </w:rPr>
            </w:pPr>
            <w:r>
              <w:rPr>
                <w:rFonts w:hint="eastAsia" w:hAnsi="宋体"/>
                <w:b/>
                <w:sz w:val="21"/>
                <w:szCs w:val="21"/>
                <w:highlight w:val="none"/>
              </w:rPr>
              <w:t>选修</w:t>
            </w:r>
          </w:p>
        </w:tc>
        <w:tc>
          <w:tcPr>
            <w:tcW w:w="3045" w:type="dxa"/>
            <w:vAlign w:val="center"/>
          </w:tcPr>
          <w:p w14:paraId="18D6F952">
            <w:pPr>
              <w:jc w:val="center"/>
              <w:rPr>
                <w:b/>
                <w:sz w:val="21"/>
                <w:szCs w:val="21"/>
                <w:highlight w:val="none"/>
              </w:rPr>
            </w:pPr>
            <w:r>
              <w:rPr>
                <w:rFonts w:hint="eastAsia" w:hAnsi="宋体"/>
                <w:b/>
                <w:sz w:val="21"/>
                <w:szCs w:val="21"/>
                <w:highlight w:val="none"/>
              </w:rPr>
              <w:t>专业选修课</w:t>
            </w:r>
          </w:p>
        </w:tc>
        <w:tc>
          <w:tcPr>
            <w:tcW w:w="1538" w:type="dxa"/>
            <w:shd w:val="clear" w:color="auto" w:fill="auto"/>
            <w:vAlign w:val="center"/>
          </w:tcPr>
          <w:p w14:paraId="0A2790B0">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12</w:t>
            </w:r>
          </w:p>
        </w:tc>
        <w:tc>
          <w:tcPr>
            <w:tcW w:w="1538" w:type="dxa"/>
            <w:shd w:val="clear" w:color="auto" w:fill="auto"/>
            <w:vAlign w:val="center"/>
          </w:tcPr>
          <w:p w14:paraId="2AE677DF">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244</w:t>
            </w:r>
          </w:p>
        </w:tc>
        <w:tc>
          <w:tcPr>
            <w:tcW w:w="1399" w:type="dxa"/>
            <w:vAlign w:val="center"/>
          </w:tcPr>
          <w:p w14:paraId="669167DF">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9.06%</w:t>
            </w:r>
          </w:p>
        </w:tc>
      </w:tr>
      <w:tr w14:paraId="345F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1518" w:type="dxa"/>
            <w:vMerge w:val="continue"/>
          </w:tcPr>
          <w:p w14:paraId="17178407">
            <w:pPr>
              <w:jc w:val="center"/>
              <w:rPr>
                <w:rFonts w:hAnsi="宋体"/>
                <w:b/>
                <w:sz w:val="21"/>
                <w:szCs w:val="21"/>
                <w:highlight w:val="none"/>
              </w:rPr>
            </w:pPr>
          </w:p>
        </w:tc>
        <w:tc>
          <w:tcPr>
            <w:tcW w:w="3045" w:type="dxa"/>
            <w:vAlign w:val="center"/>
          </w:tcPr>
          <w:p w14:paraId="7C30CA0B">
            <w:pPr>
              <w:jc w:val="center"/>
              <w:rPr>
                <w:rFonts w:hAnsi="宋体"/>
                <w:b/>
                <w:sz w:val="21"/>
                <w:szCs w:val="21"/>
                <w:highlight w:val="none"/>
              </w:rPr>
            </w:pPr>
            <w:r>
              <w:rPr>
                <w:rFonts w:hint="eastAsia" w:hAnsi="宋体"/>
                <w:b/>
                <w:sz w:val="21"/>
                <w:szCs w:val="21"/>
                <w:highlight w:val="none"/>
              </w:rPr>
              <w:t>公共基础选修课</w:t>
            </w:r>
          </w:p>
        </w:tc>
        <w:tc>
          <w:tcPr>
            <w:tcW w:w="1538" w:type="dxa"/>
            <w:shd w:val="clear" w:color="auto" w:fill="auto"/>
            <w:vAlign w:val="center"/>
          </w:tcPr>
          <w:p w14:paraId="76C40F77">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4</w:t>
            </w:r>
          </w:p>
        </w:tc>
        <w:tc>
          <w:tcPr>
            <w:tcW w:w="1538" w:type="dxa"/>
            <w:shd w:val="clear" w:color="auto" w:fill="auto"/>
            <w:vAlign w:val="center"/>
          </w:tcPr>
          <w:p w14:paraId="5A9231A7">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Cs/>
                <w:sz w:val="21"/>
                <w:szCs w:val="21"/>
                <w:highlight w:val="none"/>
              </w:rPr>
              <w:t>64</w:t>
            </w:r>
          </w:p>
        </w:tc>
        <w:tc>
          <w:tcPr>
            <w:tcW w:w="1399" w:type="dxa"/>
            <w:vAlign w:val="center"/>
          </w:tcPr>
          <w:p w14:paraId="3587C363">
            <w:pPr>
              <w:jc w:val="center"/>
              <w:rPr>
                <w:rFonts w:hint="eastAsia" w:ascii="仿宋_GB2312" w:hAnsi="仿宋_GB2312" w:cs="仿宋_GB2312"/>
                <w:bCs/>
                <w:sz w:val="21"/>
                <w:szCs w:val="21"/>
                <w:highlight w:val="none"/>
              </w:rPr>
            </w:pPr>
            <w:r>
              <w:rPr>
                <w:rFonts w:hint="eastAsia" w:ascii="仿宋_GB2312" w:hAnsi="仿宋_GB2312" w:cs="仿宋_GB2312"/>
                <w:bCs/>
                <w:sz w:val="21"/>
                <w:szCs w:val="21"/>
                <w:highlight w:val="none"/>
              </w:rPr>
              <w:t>2.38%</w:t>
            </w:r>
          </w:p>
        </w:tc>
      </w:tr>
      <w:tr w14:paraId="4341C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4563" w:type="dxa"/>
            <w:gridSpan w:val="2"/>
            <w:vAlign w:val="center"/>
          </w:tcPr>
          <w:p w14:paraId="4EC38A04">
            <w:pPr>
              <w:jc w:val="center"/>
              <w:rPr>
                <w:rFonts w:hAnsi="宋体"/>
                <w:b/>
                <w:sz w:val="21"/>
                <w:szCs w:val="21"/>
                <w:highlight w:val="none"/>
              </w:rPr>
            </w:pPr>
            <w:r>
              <w:rPr>
                <w:rFonts w:hint="eastAsia" w:hAnsi="宋体"/>
                <w:b/>
                <w:sz w:val="21"/>
                <w:szCs w:val="21"/>
                <w:highlight w:val="none"/>
              </w:rPr>
              <w:t>合计</w:t>
            </w:r>
          </w:p>
        </w:tc>
        <w:tc>
          <w:tcPr>
            <w:tcW w:w="1538" w:type="dxa"/>
            <w:vAlign w:val="center"/>
          </w:tcPr>
          <w:p w14:paraId="3E92AA59">
            <w:pPr>
              <w:jc w:val="center"/>
              <w:rPr>
                <w:rFonts w:hint="eastAsia" w:ascii="仿宋_GB2312" w:hAnsi="仿宋_GB2312" w:cs="仿宋_GB2312"/>
                <w:bCs/>
                <w:sz w:val="21"/>
                <w:szCs w:val="21"/>
                <w:highlight w:val="none"/>
                <w:lang w:val="en-US" w:eastAsia="zh-CN"/>
              </w:rPr>
            </w:pPr>
            <w:r>
              <w:rPr>
                <w:rFonts w:hint="eastAsia" w:ascii="仿宋_GB2312" w:hAnsi="仿宋_GB2312" w:cs="仿宋_GB2312"/>
                <w:b/>
                <w:bCs w:val="0"/>
                <w:sz w:val="21"/>
                <w:szCs w:val="21"/>
                <w:highlight w:val="none"/>
              </w:rPr>
              <w:t>5</w:t>
            </w:r>
            <w:r>
              <w:rPr>
                <w:rFonts w:hint="eastAsia" w:ascii="仿宋_GB2312" w:hAnsi="仿宋_GB2312" w:cs="仿宋_GB2312"/>
                <w:b/>
                <w:bCs w:val="0"/>
                <w:sz w:val="21"/>
                <w:szCs w:val="21"/>
                <w:highlight w:val="none"/>
                <w:lang w:val="en-US" w:eastAsia="zh-CN"/>
              </w:rPr>
              <w:t>7</w:t>
            </w:r>
          </w:p>
        </w:tc>
        <w:tc>
          <w:tcPr>
            <w:tcW w:w="1538" w:type="dxa"/>
            <w:shd w:val="clear" w:color="auto" w:fill="auto"/>
            <w:vAlign w:val="center"/>
          </w:tcPr>
          <w:p w14:paraId="1B9DEB94">
            <w:pPr>
              <w:jc w:val="center"/>
              <w:rPr>
                <w:rFonts w:ascii="Times New Roman" w:hAnsi="宋体" w:eastAsia="仿宋_GB2312" w:cs="Times New Roman"/>
                <w:b/>
                <w:kern w:val="2"/>
                <w:sz w:val="24"/>
                <w:szCs w:val="22"/>
                <w:highlight w:val="none"/>
                <w:lang w:val="en-US" w:eastAsia="zh-CN" w:bidi="ar-SA"/>
              </w:rPr>
            </w:pPr>
            <w:r>
              <w:rPr>
                <w:rFonts w:hint="eastAsia" w:ascii="仿宋_GB2312" w:hAnsi="仿宋_GB2312" w:cs="仿宋_GB2312"/>
                <w:b/>
                <w:bCs w:val="0"/>
                <w:sz w:val="21"/>
                <w:szCs w:val="21"/>
                <w:highlight w:val="none"/>
              </w:rPr>
              <w:t>2694</w:t>
            </w:r>
          </w:p>
        </w:tc>
        <w:tc>
          <w:tcPr>
            <w:tcW w:w="1399" w:type="dxa"/>
            <w:shd w:val="clear" w:color="auto" w:fill="auto"/>
            <w:vAlign w:val="center"/>
          </w:tcPr>
          <w:p w14:paraId="14635F0A">
            <w:pPr>
              <w:jc w:val="center"/>
              <w:rPr>
                <w:rFonts w:hint="default" w:ascii="Times New Roman" w:hAnsi="宋体" w:eastAsia="仿宋_GB2312" w:cs="Times New Roman"/>
                <w:b/>
                <w:kern w:val="2"/>
                <w:sz w:val="24"/>
                <w:szCs w:val="22"/>
                <w:highlight w:val="none"/>
                <w:lang w:val="en-US" w:eastAsia="zh-CN" w:bidi="ar-SA"/>
              </w:rPr>
            </w:pPr>
            <w:r>
              <w:rPr>
                <w:rFonts w:hint="eastAsia" w:ascii="仿宋_GB2312" w:hAnsi="仿宋_GB2312" w:cs="仿宋_GB2312"/>
                <w:b/>
                <w:bCs w:val="0"/>
                <w:sz w:val="21"/>
                <w:szCs w:val="21"/>
                <w:highlight w:val="none"/>
                <w:lang w:val="en-US" w:eastAsia="zh-CN"/>
              </w:rPr>
              <w:t>100%</w:t>
            </w:r>
          </w:p>
        </w:tc>
      </w:tr>
    </w:tbl>
    <w:p w14:paraId="4384B190">
      <w:pPr>
        <w:overflowPunct w:val="0"/>
        <w:adjustRightInd w:val="0"/>
        <w:snapToGrid w:val="0"/>
        <w:spacing w:before="156" w:beforeLines="50" w:after="156" w:afterLines="50" w:line="360" w:lineRule="auto"/>
        <w:jc w:val="center"/>
        <w:rPr>
          <w:rFonts w:ascii="仿宋_GB2312" w:hAnsi="仿宋_GB2312" w:cs="仿宋_GB2312"/>
          <w:b/>
          <w:bCs/>
          <w:sz w:val="28"/>
          <w:szCs w:val="28"/>
          <w:highlight w:val="none"/>
        </w:rPr>
      </w:pPr>
      <w:bookmarkStart w:id="66" w:name="_Toc19170"/>
      <w:bookmarkStart w:id="67" w:name="_Toc168736746"/>
    </w:p>
    <w:p w14:paraId="6CECB025">
      <w:pPr>
        <w:rPr>
          <w:highlight w:val="none"/>
        </w:rPr>
      </w:pPr>
      <w:r>
        <w:rPr>
          <w:highlight w:val="none"/>
        </w:rPr>
        <w:br w:type="page"/>
      </w:r>
    </w:p>
    <w:p w14:paraId="4F2E77F9">
      <w:pPr>
        <w:overflowPunct w:val="0"/>
        <w:adjustRightInd w:val="0"/>
        <w:snapToGrid w:val="0"/>
        <w:spacing w:before="156" w:beforeLines="50" w:after="156" w:afterLines="50" w:line="360" w:lineRule="auto"/>
        <w:jc w:val="center"/>
        <w:rPr>
          <w:rFonts w:ascii="仿宋_GB2312" w:hAnsi="仿宋_GB2312" w:cs="仿宋_GB2312"/>
          <w:b/>
          <w:bCs/>
          <w:sz w:val="24"/>
          <w:szCs w:val="28"/>
          <w:highlight w:val="none"/>
        </w:rPr>
      </w:pPr>
      <w:r>
        <w:rPr>
          <w:rFonts w:hint="eastAsia" w:ascii="仿宋_GB2312" w:hAnsi="仿宋_GB2312" w:cs="仿宋_GB2312"/>
          <w:b/>
          <w:bCs/>
          <w:sz w:val="24"/>
          <w:szCs w:val="28"/>
          <w:highlight w:val="none"/>
        </w:rPr>
        <w:t xml:space="preserve">表八  </w:t>
      </w:r>
      <w:r>
        <w:rPr>
          <w:rFonts w:hint="eastAsia" w:ascii="仿宋_GB2312" w:hAnsi="仿宋_GB2312" w:cs="仿宋_GB2312"/>
          <w:b/>
          <w:bCs/>
          <w:sz w:val="24"/>
          <w:szCs w:val="24"/>
          <w:highlight w:val="none"/>
        </w:rPr>
        <w:t>新能源汽车检测与维修技术专业</w:t>
      </w:r>
      <w:r>
        <w:rPr>
          <w:rFonts w:hint="eastAsia" w:ascii="仿宋_GB2312" w:hAnsi="仿宋_GB2312" w:cs="仿宋_GB2312"/>
          <w:b/>
          <w:bCs/>
          <w:sz w:val="24"/>
          <w:szCs w:val="28"/>
          <w:highlight w:val="none"/>
        </w:rPr>
        <w:t>公共基础课程学时表</w:t>
      </w:r>
    </w:p>
    <w:tbl>
      <w:tblPr>
        <w:tblStyle w:val="15"/>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44976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44BD611A">
            <w:pPr>
              <w:jc w:val="center"/>
              <w:rPr>
                <w:rFonts w:hAnsi="宋体"/>
                <w:b/>
                <w:sz w:val="21"/>
                <w:szCs w:val="21"/>
                <w:highlight w:val="none"/>
              </w:rPr>
            </w:pPr>
            <w:r>
              <w:rPr>
                <w:rFonts w:hint="eastAsia" w:hAnsi="宋体"/>
                <w:b/>
                <w:sz w:val="21"/>
                <w:szCs w:val="21"/>
                <w:highlight w:val="none"/>
              </w:rPr>
              <w:t>课程</w:t>
            </w:r>
          </w:p>
          <w:p w14:paraId="3042ED86">
            <w:pPr>
              <w:jc w:val="center"/>
              <w:rPr>
                <w:rFonts w:hAnsi="宋体"/>
                <w:b/>
                <w:sz w:val="21"/>
                <w:szCs w:val="21"/>
                <w:highlight w:val="none"/>
              </w:rPr>
            </w:pPr>
            <w:r>
              <w:rPr>
                <w:rFonts w:hint="eastAsia" w:hAnsi="宋体"/>
                <w:b/>
                <w:sz w:val="21"/>
                <w:szCs w:val="21"/>
                <w:highlight w:val="none"/>
              </w:rPr>
              <w:t>类别</w:t>
            </w:r>
          </w:p>
        </w:tc>
        <w:tc>
          <w:tcPr>
            <w:tcW w:w="3151" w:type="dxa"/>
            <w:vAlign w:val="center"/>
          </w:tcPr>
          <w:p w14:paraId="129F07AC">
            <w:pPr>
              <w:jc w:val="center"/>
              <w:rPr>
                <w:b/>
                <w:sz w:val="21"/>
                <w:szCs w:val="21"/>
                <w:highlight w:val="none"/>
              </w:rPr>
            </w:pPr>
            <w:r>
              <w:rPr>
                <w:rFonts w:hint="eastAsia" w:hAnsi="宋体"/>
                <w:b/>
                <w:sz w:val="21"/>
                <w:szCs w:val="21"/>
                <w:highlight w:val="none"/>
              </w:rPr>
              <w:t>课程模块</w:t>
            </w:r>
          </w:p>
        </w:tc>
        <w:tc>
          <w:tcPr>
            <w:tcW w:w="1592" w:type="dxa"/>
            <w:vAlign w:val="center"/>
          </w:tcPr>
          <w:p w14:paraId="79F60ABA">
            <w:pPr>
              <w:jc w:val="center"/>
              <w:rPr>
                <w:b/>
                <w:sz w:val="21"/>
                <w:szCs w:val="21"/>
                <w:highlight w:val="none"/>
              </w:rPr>
            </w:pPr>
            <w:r>
              <w:rPr>
                <w:rFonts w:hint="eastAsia" w:hAnsi="宋体"/>
                <w:b/>
                <w:sz w:val="21"/>
                <w:szCs w:val="21"/>
                <w:highlight w:val="none"/>
              </w:rPr>
              <w:t>课程</w:t>
            </w:r>
          </w:p>
          <w:p w14:paraId="6F067914">
            <w:pPr>
              <w:jc w:val="center"/>
              <w:rPr>
                <w:rFonts w:hAnsi="宋体"/>
                <w:b/>
                <w:sz w:val="21"/>
                <w:szCs w:val="21"/>
                <w:highlight w:val="none"/>
              </w:rPr>
            </w:pPr>
            <w:r>
              <w:rPr>
                <w:rFonts w:hint="eastAsia" w:hAnsi="宋体"/>
                <w:b/>
                <w:sz w:val="21"/>
                <w:szCs w:val="21"/>
                <w:highlight w:val="none"/>
              </w:rPr>
              <w:t>门数</w:t>
            </w:r>
          </w:p>
        </w:tc>
        <w:tc>
          <w:tcPr>
            <w:tcW w:w="1592" w:type="dxa"/>
            <w:vAlign w:val="center"/>
          </w:tcPr>
          <w:p w14:paraId="665FE9AD">
            <w:pPr>
              <w:jc w:val="center"/>
              <w:rPr>
                <w:rFonts w:hAnsi="宋体"/>
                <w:b/>
                <w:sz w:val="21"/>
                <w:szCs w:val="21"/>
                <w:highlight w:val="none"/>
              </w:rPr>
            </w:pPr>
            <w:r>
              <w:rPr>
                <w:rFonts w:hint="eastAsia" w:hAnsi="宋体"/>
                <w:b/>
                <w:sz w:val="21"/>
                <w:szCs w:val="21"/>
                <w:highlight w:val="none"/>
              </w:rPr>
              <w:t>学时数</w:t>
            </w:r>
          </w:p>
        </w:tc>
        <w:tc>
          <w:tcPr>
            <w:tcW w:w="1448" w:type="dxa"/>
            <w:vAlign w:val="center"/>
          </w:tcPr>
          <w:p w14:paraId="089483F8">
            <w:pPr>
              <w:jc w:val="center"/>
              <w:rPr>
                <w:rFonts w:hAnsi="宋体"/>
                <w:b/>
                <w:sz w:val="21"/>
                <w:szCs w:val="21"/>
                <w:highlight w:val="none"/>
              </w:rPr>
            </w:pPr>
            <w:r>
              <w:rPr>
                <w:rFonts w:hint="eastAsia" w:hAnsi="宋体"/>
                <w:b/>
                <w:sz w:val="21"/>
                <w:szCs w:val="21"/>
                <w:highlight w:val="none"/>
              </w:rPr>
              <w:t>所占比例</w:t>
            </w:r>
          </w:p>
        </w:tc>
      </w:tr>
      <w:tr w14:paraId="632F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7" w:hRule="atLeast"/>
          <w:jc w:val="center"/>
        </w:trPr>
        <w:tc>
          <w:tcPr>
            <w:tcW w:w="1571" w:type="dxa"/>
            <w:vMerge w:val="restart"/>
            <w:vAlign w:val="center"/>
          </w:tcPr>
          <w:p w14:paraId="7F4C0EA2">
            <w:pPr>
              <w:jc w:val="center"/>
              <w:rPr>
                <w:rFonts w:hAnsi="宋体"/>
                <w:b/>
                <w:sz w:val="21"/>
                <w:szCs w:val="21"/>
                <w:highlight w:val="none"/>
              </w:rPr>
            </w:pPr>
            <w:r>
              <w:rPr>
                <w:rFonts w:hint="eastAsia" w:hAnsi="宋体"/>
                <w:b/>
                <w:sz w:val="21"/>
                <w:szCs w:val="21"/>
                <w:highlight w:val="none"/>
              </w:rPr>
              <w:t>公共基础课</w:t>
            </w:r>
          </w:p>
        </w:tc>
        <w:tc>
          <w:tcPr>
            <w:tcW w:w="3151" w:type="dxa"/>
            <w:vAlign w:val="center"/>
          </w:tcPr>
          <w:p w14:paraId="23DA57BC">
            <w:pPr>
              <w:jc w:val="center"/>
              <w:rPr>
                <w:b/>
                <w:sz w:val="21"/>
                <w:szCs w:val="21"/>
                <w:highlight w:val="none"/>
              </w:rPr>
            </w:pPr>
            <w:r>
              <w:rPr>
                <w:rFonts w:hint="eastAsia" w:hAnsi="宋体"/>
                <w:b/>
                <w:sz w:val="21"/>
                <w:szCs w:val="21"/>
                <w:highlight w:val="none"/>
              </w:rPr>
              <w:t>公共基础必修课</w:t>
            </w:r>
          </w:p>
        </w:tc>
        <w:tc>
          <w:tcPr>
            <w:tcW w:w="1592" w:type="dxa"/>
            <w:vAlign w:val="center"/>
          </w:tcPr>
          <w:p w14:paraId="0A649CF2">
            <w:pPr>
              <w:jc w:val="center"/>
              <w:rPr>
                <w:rFonts w:hAnsi="宋体"/>
                <w:bCs/>
                <w:sz w:val="21"/>
                <w:szCs w:val="21"/>
                <w:highlight w:val="none"/>
              </w:rPr>
            </w:pPr>
            <w:r>
              <w:rPr>
                <w:rFonts w:hAnsi="宋体"/>
                <w:bCs/>
                <w:sz w:val="21"/>
                <w:szCs w:val="21"/>
                <w:highlight w:val="none"/>
              </w:rPr>
              <w:t>13</w:t>
            </w:r>
          </w:p>
        </w:tc>
        <w:tc>
          <w:tcPr>
            <w:tcW w:w="1592" w:type="dxa"/>
            <w:vAlign w:val="center"/>
          </w:tcPr>
          <w:p w14:paraId="50E594A1">
            <w:pPr>
              <w:jc w:val="center"/>
              <w:rPr>
                <w:rFonts w:hAnsi="宋体"/>
                <w:bCs/>
                <w:sz w:val="21"/>
                <w:szCs w:val="21"/>
                <w:highlight w:val="none"/>
              </w:rPr>
            </w:pPr>
            <w:r>
              <w:rPr>
                <w:rFonts w:hAnsi="宋体"/>
                <w:bCs/>
                <w:sz w:val="21"/>
                <w:szCs w:val="21"/>
                <w:highlight w:val="none"/>
              </w:rPr>
              <w:t>636</w:t>
            </w:r>
          </w:p>
        </w:tc>
        <w:tc>
          <w:tcPr>
            <w:tcW w:w="1448" w:type="dxa"/>
            <w:vAlign w:val="center"/>
          </w:tcPr>
          <w:p w14:paraId="1283BE7B">
            <w:pPr>
              <w:jc w:val="center"/>
              <w:rPr>
                <w:rFonts w:hAnsi="宋体"/>
                <w:bCs/>
                <w:sz w:val="21"/>
                <w:szCs w:val="21"/>
                <w:highlight w:val="none"/>
              </w:rPr>
            </w:pPr>
            <w:r>
              <w:rPr>
                <w:rFonts w:hAnsi="宋体"/>
                <w:bCs/>
                <w:sz w:val="21"/>
                <w:szCs w:val="21"/>
                <w:highlight w:val="none"/>
              </w:rPr>
              <w:t>24.1</w:t>
            </w:r>
            <w:r>
              <w:rPr>
                <w:rFonts w:hint="eastAsia" w:hAnsi="宋体"/>
                <w:bCs/>
                <w:sz w:val="21"/>
                <w:szCs w:val="21"/>
                <w:highlight w:val="none"/>
              </w:rPr>
              <w:t>%</w:t>
            </w:r>
          </w:p>
        </w:tc>
      </w:tr>
      <w:tr w14:paraId="28E0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2401D49C">
            <w:pPr>
              <w:jc w:val="center"/>
              <w:rPr>
                <w:rFonts w:hAnsi="宋体"/>
                <w:b/>
                <w:sz w:val="21"/>
                <w:szCs w:val="21"/>
                <w:highlight w:val="none"/>
              </w:rPr>
            </w:pPr>
          </w:p>
        </w:tc>
        <w:tc>
          <w:tcPr>
            <w:tcW w:w="3151" w:type="dxa"/>
            <w:vAlign w:val="center"/>
          </w:tcPr>
          <w:p w14:paraId="754633A5">
            <w:pPr>
              <w:jc w:val="center"/>
              <w:rPr>
                <w:rFonts w:hAnsi="宋体"/>
                <w:b/>
                <w:sz w:val="21"/>
                <w:szCs w:val="21"/>
                <w:highlight w:val="none"/>
              </w:rPr>
            </w:pPr>
            <w:r>
              <w:rPr>
                <w:rFonts w:hint="eastAsia" w:hAnsi="宋体"/>
                <w:b/>
                <w:sz w:val="21"/>
                <w:szCs w:val="21"/>
                <w:highlight w:val="none"/>
              </w:rPr>
              <w:t>公共基础选修课</w:t>
            </w:r>
          </w:p>
        </w:tc>
        <w:tc>
          <w:tcPr>
            <w:tcW w:w="1592" w:type="dxa"/>
            <w:vAlign w:val="center"/>
          </w:tcPr>
          <w:p w14:paraId="21382C04">
            <w:pPr>
              <w:jc w:val="center"/>
              <w:rPr>
                <w:rFonts w:hAnsi="宋体"/>
                <w:bCs/>
                <w:sz w:val="21"/>
                <w:szCs w:val="21"/>
                <w:highlight w:val="none"/>
              </w:rPr>
            </w:pPr>
            <w:r>
              <w:rPr>
                <w:rFonts w:hAnsi="宋体"/>
                <w:bCs/>
                <w:sz w:val="21"/>
                <w:szCs w:val="21"/>
                <w:highlight w:val="none"/>
              </w:rPr>
              <w:t>6</w:t>
            </w:r>
          </w:p>
        </w:tc>
        <w:tc>
          <w:tcPr>
            <w:tcW w:w="1592" w:type="dxa"/>
            <w:vAlign w:val="center"/>
          </w:tcPr>
          <w:p w14:paraId="02FD5EAA">
            <w:pPr>
              <w:jc w:val="center"/>
              <w:rPr>
                <w:rFonts w:hAnsi="宋体"/>
                <w:bCs/>
                <w:sz w:val="21"/>
                <w:szCs w:val="21"/>
                <w:highlight w:val="none"/>
              </w:rPr>
            </w:pPr>
            <w:r>
              <w:rPr>
                <w:rFonts w:hAnsi="宋体"/>
                <w:bCs/>
                <w:sz w:val="21"/>
                <w:szCs w:val="21"/>
                <w:highlight w:val="none"/>
              </w:rPr>
              <w:t>66</w:t>
            </w:r>
          </w:p>
        </w:tc>
        <w:tc>
          <w:tcPr>
            <w:tcW w:w="1448" w:type="dxa"/>
            <w:vAlign w:val="center"/>
          </w:tcPr>
          <w:p w14:paraId="4D253EA1">
            <w:pPr>
              <w:jc w:val="center"/>
              <w:rPr>
                <w:rFonts w:hAnsi="宋体"/>
                <w:bCs/>
                <w:sz w:val="21"/>
                <w:szCs w:val="21"/>
                <w:highlight w:val="none"/>
              </w:rPr>
            </w:pPr>
            <w:r>
              <w:rPr>
                <w:rFonts w:hAnsi="宋体"/>
                <w:bCs/>
                <w:sz w:val="21"/>
                <w:szCs w:val="21"/>
                <w:highlight w:val="none"/>
              </w:rPr>
              <w:t>2.4</w:t>
            </w:r>
            <w:r>
              <w:rPr>
                <w:rFonts w:hint="eastAsia" w:hAnsi="宋体"/>
                <w:bCs/>
                <w:sz w:val="21"/>
                <w:szCs w:val="21"/>
                <w:highlight w:val="none"/>
              </w:rPr>
              <w:t>%</w:t>
            </w:r>
          </w:p>
        </w:tc>
      </w:tr>
      <w:tr w14:paraId="6574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46B68A0E">
            <w:pPr>
              <w:jc w:val="center"/>
              <w:rPr>
                <w:rFonts w:hAnsi="宋体"/>
                <w:bCs/>
                <w:sz w:val="21"/>
                <w:szCs w:val="21"/>
                <w:highlight w:val="none"/>
              </w:rPr>
            </w:pPr>
            <w:r>
              <w:rPr>
                <w:rFonts w:hint="eastAsia" w:hAnsi="宋体"/>
                <w:b/>
                <w:sz w:val="21"/>
                <w:szCs w:val="21"/>
                <w:highlight w:val="none"/>
              </w:rPr>
              <w:t>合计占总学时</w:t>
            </w:r>
          </w:p>
        </w:tc>
        <w:tc>
          <w:tcPr>
            <w:tcW w:w="1448" w:type="dxa"/>
            <w:vAlign w:val="center"/>
          </w:tcPr>
          <w:p w14:paraId="63DB0C4E">
            <w:pPr>
              <w:jc w:val="center"/>
              <w:rPr>
                <w:rFonts w:hAnsi="宋体"/>
                <w:bCs/>
                <w:sz w:val="21"/>
                <w:szCs w:val="21"/>
                <w:highlight w:val="none"/>
              </w:rPr>
            </w:pPr>
            <w:r>
              <w:rPr>
                <w:rFonts w:hAnsi="宋体"/>
                <w:bCs/>
                <w:sz w:val="21"/>
                <w:szCs w:val="21"/>
                <w:highlight w:val="none"/>
              </w:rPr>
              <w:t>26.5</w:t>
            </w:r>
            <w:r>
              <w:rPr>
                <w:rFonts w:hint="eastAsia" w:hAnsi="宋体"/>
                <w:bCs/>
                <w:sz w:val="21"/>
                <w:szCs w:val="21"/>
                <w:highlight w:val="none"/>
              </w:rPr>
              <w:t>%</w:t>
            </w:r>
          </w:p>
        </w:tc>
      </w:tr>
    </w:tbl>
    <w:p w14:paraId="2F7C6288">
      <w:pPr>
        <w:pStyle w:val="2"/>
        <w:spacing w:before="62" w:after="62"/>
        <w:ind w:firstLine="480"/>
        <w:rPr>
          <w:sz w:val="24"/>
          <w:szCs w:val="24"/>
          <w:highlight w:val="none"/>
        </w:rPr>
      </w:pPr>
      <w:bookmarkStart w:id="68" w:name="_Toc201407683"/>
      <w:r>
        <w:rPr>
          <w:rFonts w:hint="eastAsia"/>
          <w:sz w:val="24"/>
          <w:szCs w:val="24"/>
          <w:highlight w:val="none"/>
        </w:rPr>
        <w:t>八、实施保障</w:t>
      </w:r>
      <w:bookmarkEnd w:id="66"/>
      <w:bookmarkEnd w:id="67"/>
      <w:bookmarkEnd w:id="68"/>
    </w:p>
    <w:p w14:paraId="51DCC4E9">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主要包括师资队伍、教学设施、教学资源、教学方法、学习评价、质量管理等方面。</w:t>
      </w:r>
    </w:p>
    <w:p w14:paraId="1D7AFFC1">
      <w:pPr>
        <w:pStyle w:val="3"/>
        <w:ind w:firstLine="482"/>
        <w:rPr>
          <w:sz w:val="24"/>
          <w:szCs w:val="24"/>
          <w:highlight w:val="none"/>
        </w:rPr>
      </w:pPr>
      <w:bookmarkStart w:id="69" w:name="_Toc201407684"/>
      <w:r>
        <w:rPr>
          <w:rFonts w:hint="eastAsia"/>
          <w:sz w:val="24"/>
          <w:szCs w:val="24"/>
          <w:highlight w:val="none"/>
        </w:rPr>
        <w:t>（一）师资队伍</w:t>
      </w:r>
      <w:bookmarkEnd w:id="69"/>
    </w:p>
    <w:p w14:paraId="12B2522D">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按照“四有好老师”“四个相统一”“四个引路人”的要求建设专业教师队伍，将师德师风作为教师队伍建设的第一标准。</w:t>
      </w:r>
    </w:p>
    <w:p w14:paraId="5E0751A0">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1</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队伍结构</w:t>
      </w:r>
    </w:p>
    <w:p w14:paraId="59D359B0">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学生数与本专业专任教师数比例不高于25∶1，“双师型”教师占专业课教师数比例一般不低于60%，高级职称专任教师的比例不低于20%，专任教师队伍要考虑职称、年龄、工作经验，形成合理的梯队结构。能够整合校内外优质人才资源，选聘企业高级技术人员担任行业导师，组建校企合作、专兼结合的教师团队，建立定期开展专业（学科）教研机制。</w:t>
      </w:r>
    </w:p>
    <w:p w14:paraId="1C24AABA">
      <w:pPr>
        <w:snapToGrid w:val="0"/>
        <w:spacing w:line="360" w:lineRule="auto"/>
        <w:ind w:firstLine="482" w:firstLineChars="200"/>
        <w:rPr>
          <w:rFonts w:ascii="仿宋_GB2312" w:hAnsi="仿宋_GB2312" w:cs="仿宋_GB2312"/>
          <w:b/>
          <w:sz w:val="24"/>
          <w:szCs w:val="24"/>
          <w:highlight w:val="none"/>
        </w:rPr>
      </w:pPr>
      <w:r>
        <w:rPr>
          <w:rFonts w:ascii="仿宋_GB2312" w:hAnsi="仿宋_GB2312" w:cs="仿宋_GB2312"/>
          <w:b/>
          <w:sz w:val="24"/>
          <w:szCs w:val="24"/>
          <w:highlight w:val="none"/>
        </w:rPr>
        <w:t>2.</w:t>
      </w:r>
      <w:r>
        <w:rPr>
          <w:rFonts w:hint="eastAsia" w:ascii="仿宋_GB2312" w:hAnsi="仿宋_GB2312" w:cs="仿宋_GB2312"/>
          <w:b/>
          <w:sz w:val="24"/>
          <w:szCs w:val="24"/>
          <w:highlight w:val="none"/>
        </w:rPr>
        <w:t>专业带头人</w:t>
      </w:r>
    </w:p>
    <w:p w14:paraId="45B669BA">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原则上应具有本专业及相关专业副高及以上职称和较强的实践能力，能够较好地把握国内</w:t>
      </w:r>
      <w:r>
        <w:rPr>
          <w:rFonts w:hint="eastAsia" w:ascii="仿宋_GB2312"/>
          <w:sz w:val="24"/>
          <w:szCs w:val="24"/>
          <w:highlight w:val="none"/>
          <w:lang w:val="en-US" w:eastAsia="zh-CN"/>
        </w:rPr>
        <w:t>外新能源汽车</w:t>
      </w:r>
      <w:r>
        <w:rPr>
          <w:rFonts w:hint="eastAsia" w:ascii="仿宋_GB2312"/>
          <w:sz w:val="24"/>
          <w:szCs w:val="24"/>
          <w:highlight w:val="none"/>
        </w:rPr>
        <w:t>行业、专业发展，能广泛联系行业企业，了解行业企业对本专业人才的需求实际，主持专业建设、开展教育教学改革、教科研工作和社会服务能力强，在本专业改革发展中起引领作用。</w:t>
      </w:r>
    </w:p>
    <w:p w14:paraId="0202DB57">
      <w:pPr>
        <w:snapToGrid w:val="0"/>
        <w:spacing w:line="360" w:lineRule="auto"/>
        <w:ind w:firstLine="482" w:firstLineChars="200"/>
        <w:rPr>
          <w:rFonts w:ascii="仿宋_GB2312" w:hAnsi="仿宋_GB2312" w:cs="仿宋_GB2312"/>
          <w:b/>
          <w:sz w:val="24"/>
          <w:szCs w:val="24"/>
          <w:highlight w:val="none"/>
        </w:rPr>
      </w:pPr>
      <w:r>
        <w:rPr>
          <w:rFonts w:ascii="仿宋_GB2312" w:hAnsi="仿宋_GB2312" w:cs="仿宋_GB2312"/>
          <w:b/>
          <w:sz w:val="24"/>
          <w:szCs w:val="24"/>
          <w:highlight w:val="none"/>
        </w:rPr>
        <w:t>3.</w:t>
      </w:r>
      <w:r>
        <w:rPr>
          <w:rFonts w:hint="eastAsia" w:ascii="仿宋_GB2312" w:hAnsi="仿宋_GB2312" w:cs="仿宋_GB2312"/>
          <w:b/>
          <w:sz w:val="24"/>
          <w:szCs w:val="24"/>
          <w:highlight w:val="none"/>
        </w:rPr>
        <w:t>专任教师</w:t>
      </w:r>
    </w:p>
    <w:p w14:paraId="42A5591E">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具有高校教师资格；原则上具有车辆工程、新能源汽车检测与维修技术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p>
    <w:p w14:paraId="5C58BCCD">
      <w:pPr>
        <w:snapToGrid w:val="0"/>
        <w:spacing w:line="360" w:lineRule="auto"/>
        <w:ind w:firstLine="482" w:firstLineChars="200"/>
        <w:rPr>
          <w:rFonts w:ascii="仿宋_GB2312" w:hAnsi="仿宋_GB2312" w:cs="仿宋_GB2312"/>
          <w:b/>
          <w:sz w:val="24"/>
          <w:szCs w:val="24"/>
          <w:highlight w:val="none"/>
        </w:rPr>
      </w:pPr>
      <w:r>
        <w:rPr>
          <w:rFonts w:ascii="仿宋_GB2312" w:hAnsi="仿宋_GB2312" w:cs="仿宋_GB2312"/>
          <w:b/>
          <w:sz w:val="24"/>
          <w:szCs w:val="24"/>
          <w:highlight w:val="none"/>
        </w:rPr>
        <w:t>4.</w:t>
      </w:r>
      <w:r>
        <w:rPr>
          <w:rFonts w:hint="eastAsia" w:ascii="仿宋_GB2312" w:hAnsi="仿宋_GB2312" w:cs="仿宋_GB2312"/>
          <w:b/>
          <w:sz w:val="24"/>
          <w:szCs w:val="24"/>
          <w:highlight w:val="none"/>
        </w:rPr>
        <w:t>兼职教师</w:t>
      </w:r>
    </w:p>
    <w:p w14:paraId="534FDA57">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39781B97">
      <w:pPr>
        <w:pStyle w:val="3"/>
        <w:ind w:firstLine="482"/>
        <w:rPr>
          <w:sz w:val="24"/>
          <w:szCs w:val="24"/>
          <w:highlight w:val="none"/>
        </w:rPr>
      </w:pPr>
      <w:bookmarkStart w:id="70" w:name="_Toc201407685"/>
      <w:bookmarkStart w:id="71" w:name="_Toc7189"/>
      <w:bookmarkStart w:id="72" w:name="_Toc168736753"/>
      <w:r>
        <w:rPr>
          <w:rFonts w:hint="eastAsia"/>
          <w:sz w:val="24"/>
          <w:szCs w:val="24"/>
          <w:highlight w:val="none"/>
        </w:rPr>
        <w:t>（二）教学设施</w:t>
      </w:r>
      <w:bookmarkEnd w:id="70"/>
    </w:p>
    <w:p w14:paraId="4FC73D7B">
      <w:pPr>
        <w:snapToGrid w:val="0"/>
        <w:spacing w:line="360" w:lineRule="auto"/>
        <w:ind w:firstLine="480" w:firstLineChars="200"/>
        <w:rPr>
          <w:rFonts w:ascii="仿宋_GB2312"/>
          <w:sz w:val="24"/>
          <w:szCs w:val="24"/>
          <w:highlight w:val="none"/>
        </w:rPr>
      </w:pPr>
      <w:r>
        <w:rPr>
          <w:rFonts w:hint="eastAsia" w:ascii="仿宋_GB2312"/>
          <w:sz w:val="24"/>
          <w:szCs w:val="24"/>
          <w:highlight w:val="none"/>
        </w:rPr>
        <w:t>主要包括能够满足正常的课程教学、实习实训所需的专业教室、实验室、实训室和实习实训基地。</w:t>
      </w:r>
    </w:p>
    <w:p w14:paraId="298E786B">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1</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专业教室基本要求</w:t>
      </w:r>
    </w:p>
    <w:p w14:paraId="59AE6774">
      <w:pPr>
        <w:snapToGrid w:val="0"/>
        <w:spacing w:line="360" w:lineRule="auto"/>
        <w:ind w:firstLine="480" w:firstLineChars="200"/>
        <w:rPr>
          <w:rFonts w:ascii="仿宋_GB2312"/>
          <w:sz w:val="24"/>
          <w:szCs w:val="24"/>
          <w:highlight w:val="none"/>
        </w:rPr>
      </w:pPr>
      <w:r>
        <w:rPr>
          <w:rFonts w:hint="eastAsia" w:ascii="仿宋_GB2312"/>
          <w:sz w:val="24"/>
          <w:szCs w:val="24"/>
          <w:highlight w:val="none"/>
        </w:rPr>
        <w:t>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w:t>
      </w:r>
    </w:p>
    <w:p w14:paraId="12C3AB07">
      <w:pPr>
        <w:snapToGrid w:val="0"/>
        <w:spacing w:line="360" w:lineRule="auto"/>
        <w:ind w:firstLine="482" w:firstLineChars="200"/>
        <w:rPr>
          <w:rFonts w:ascii="仿宋_GB2312" w:hAnsi="仿宋_GB2312" w:cs="仿宋_GB2312"/>
          <w:b/>
          <w:sz w:val="24"/>
          <w:szCs w:val="24"/>
          <w:highlight w:val="none"/>
        </w:rPr>
      </w:pPr>
      <w:r>
        <w:rPr>
          <w:rFonts w:ascii="仿宋_GB2312" w:hAnsi="仿宋_GB2312" w:cs="仿宋_GB2312"/>
          <w:b/>
          <w:sz w:val="24"/>
          <w:szCs w:val="24"/>
          <w:highlight w:val="none"/>
        </w:rPr>
        <w:t>2.</w:t>
      </w:r>
      <w:r>
        <w:rPr>
          <w:rFonts w:hint="eastAsia" w:ascii="仿宋_GB2312" w:hAnsi="仿宋_GB2312" w:cs="仿宋_GB2312"/>
          <w:b/>
          <w:sz w:val="24"/>
          <w:szCs w:val="24"/>
          <w:highlight w:val="none"/>
        </w:rPr>
        <w:t>校内外实验、实训场所基本要求</w:t>
      </w:r>
    </w:p>
    <w:p w14:paraId="7784F5DE">
      <w:pPr>
        <w:snapToGrid w:val="0"/>
        <w:spacing w:line="360" w:lineRule="auto"/>
        <w:ind w:firstLine="480" w:firstLineChars="200"/>
        <w:rPr>
          <w:rFonts w:ascii="仿宋_GB2312"/>
          <w:sz w:val="24"/>
          <w:szCs w:val="24"/>
          <w:highlight w:val="none"/>
        </w:rPr>
      </w:pPr>
      <w:r>
        <w:rPr>
          <w:rFonts w:hint="eastAsia" w:ascii="仿宋_GB2312"/>
          <w:sz w:val="24"/>
          <w:szCs w:val="24"/>
          <w:highlight w:val="none"/>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w:t>
      </w:r>
      <w:r>
        <w:rPr>
          <w:rFonts w:hint="eastAsia" w:ascii="仿宋_GB2312"/>
          <w:sz w:val="24"/>
          <w:szCs w:val="24"/>
          <w:highlight w:val="none"/>
          <w:lang w:val="en-US" w:eastAsia="zh-CN"/>
        </w:rPr>
        <w:t>新能源汽车检查、维修</w:t>
      </w:r>
      <w:r>
        <w:rPr>
          <w:rFonts w:hint="eastAsia" w:ascii="仿宋_GB2312"/>
          <w:sz w:val="24"/>
          <w:szCs w:val="24"/>
          <w:highlight w:val="none"/>
        </w:rPr>
        <w:t>等实验、实训活动。鼓励在实训中运用大数据、云计算、人工智能、虚拟仿真等前沿信息技术。</w:t>
      </w:r>
    </w:p>
    <w:p w14:paraId="42D94D0B">
      <w:pPr>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（1）新能源汽车动力系统实训室</w:t>
      </w:r>
    </w:p>
    <w:p w14:paraId="256D8187">
      <w:pPr>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配备动力电池组、驱动电机及控制器等设备，学生可进行电池拆解组装、电机性能测试与故障模拟，掌握动力系统原理与检修技术。</w:t>
      </w:r>
    </w:p>
    <w:p w14:paraId="64F195BC">
      <w:pPr>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w:t>
      </w:r>
      <w:r>
        <w:rPr>
          <w:rFonts w:hint="eastAsia" w:ascii="仿宋_GB2312"/>
          <w:sz w:val="24"/>
          <w:szCs w:val="24"/>
          <w:highlight w:val="none"/>
          <w:lang w:val="en-US" w:eastAsia="zh-CN"/>
        </w:rPr>
        <w:t>2</w:t>
      </w:r>
      <w:r>
        <w:rPr>
          <w:rFonts w:hint="eastAsia" w:ascii="仿宋_GB2312"/>
          <w:sz w:val="24"/>
          <w:szCs w:val="24"/>
          <w:highlight w:val="none"/>
        </w:rPr>
        <w:t>）新能源汽车智能网联实训室</w:t>
      </w:r>
    </w:p>
    <w:p w14:paraId="18A6C494">
      <w:pPr>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集成车载传感器、车联网系统，让学生学习自动驾驶辅助系统检测、智能网联故障诊断与远程监控技术，适应行业智能化发展趋势。</w:t>
      </w:r>
    </w:p>
    <w:p w14:paraId="3762EFB2">
      <w:pPr>
        <w:pStyle w:val="5"/>
        <w:rPr>
          <w:highlight w:val="none"/>
        </w:rPr>
      </w:pPr>
    </w:p>
    <w:p w14:paraId="22D3369D">
      <w:pPr>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w:t>
      </w:r>
      <w:r>
        <w:rPr>
          <w:rFonts w:hint="eastAsia" w:ascii="仿宋_GB2312"/>
          <w:sz w:val="24"/>
          <w:szCs w:val="24"/>
          <w:highlight w:val="none"/>
          <w:lang w:val="en-US" w:eastAsia="zh-CN"/>
        </w:rPr>
        <w:t>3</w:t>
      </w:r>
      <w:r>
        <w:rPr>
          <w:rFonts w:hint="eastAsia" w:ascii="仿宋_GB2312"/>
          <w:sz w:val="24"/>
          <w:szCs w:val="24"/>
          <w:highlight w:val="none"/>
        </w:rPr>
        <w:t>）校内实桩实训基地</w:t>
      </w:r>
    </w:p>
    <w:p w14:paraId="58906637">
      <w:pPr>
        <w:snapToGrid w:val="0"/>
        <w:spacing w:line="360" w:lineRule="auto"/>
        <w:ind w:firstLine="480" w:firstLineChars="200"/>
        <w:rPr>
          <w:rFonts w:hint="eastAsia" w:ascii="仿宋_GB2312"/>
          <w:sz w:val="24"/>
          <w:szCs w:val="24"/>
          <w:highlight w:val="none"/>
          <w:lang w:val="en-US" w:eastAsia="zh-CN"/>
        </w:rPr>
      </w:pPr>
      <w:r>
        <w:rPr>
          <w:rFonts w:hint="eastAsia" w:ascii="仿宋_GB2312"/>
          <w:sz w:val="24"/>
          <w:szCs w:val="24"/>
          <w:highlight w:val="none"/>
          <w:lang w:val="en-US" w:eastAsia="zh-CN"/>
        </w:rPr>
        <w:t>配备直流快充桩、交流慢充桩、充电桩监控系统及充电网络管理平台等设备，模拟真实充电站场景。学生可在此开展充电桩安装调试、充电设备日常巡检、故障诊断与维修、充电安全操作及充电数据管理等实训，掌握充电站运营维护全流程技术，培养应对充电站实际运营问题的能力。</w:t>
      </w:r>
    </w:p>
    <w:p w14:paraId="78CA06DB">
      <w:pPr>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w:t>
      </w:r>
      <w:r>
        <w:rPr>
          <w:rFonts w:hint="eastAsia" w:ascii="仿宋_GB2312"/>
          <w:sz w:val="24"/>
          <w:szCs w:val="24"/>
          <w:highlight w:val="none"/>
          <w:lang w:val="en-US" w:eastAsia="zh-CN"/>
        </w:rPr>
        <w:t>4</w:t>
      </w:r>
      <w:r>
        <w:rPr>
          <w:rFonts w:hint="eastAsia" w:ascii="仿宋_GB2312"/>
          <w:sz w:val="24"/>
          <w:szCs w:val="24"/>
          <w:highlight w:val="none"/>
        </w:rPr>
        <w:t>）虚拟仿真基地</w:t>
      </w:r>
    </w:p>
    <w:p w14:paraId="3AD2E8B3">
      <w:pPr>
        <w:snapToGrid w:val="0"/>
        <w:spacing w:line="360" w:lineRule="auto"/>
        <w:ind w:firstLine="480" w:firstLineChars="200"/>
        <w:rPr>
          <w:rFonts w:hint="eastAsia" w:ascii="仿宋_GB2312"/>
          <w:sz w:val="24"/>
          <w:szCs w:val="24"/>
          <w:highlight w:val="none"/>
          <w:lang w:val="en-US" w:eastAsia="zh-CN"/>
        </w:rPr>
      </w:pPr>
      <w:r>
        <w:rPr>
          <w:rFonts w:hint="eastAsia" w:ascii="仿宋_GB2312"/>
          <w:sz w:val="24"/>
          <w:szCs w:val="24"/>
          <w:highlight w:val="none"/>
          <w:lang w:val="en-US" w:eastAsia="zh-CN"/>
        </w:rPr>
        <w:t>充电站三维仿真教学系统、VR沉浸式交互终端、数字孪生故障模拟平台及充电站火灾应急处置模拟软件，覆盖巡检、检修、应急全流程。学生可在虚拟环境中完成充电桩内部结构拆解、高危故障（如高压短路、模块拉弧）模拟排查、地空协同巡检路线规划以及充电站灭火推演等实训操作。系统支持反复试错、即时复盘，有效弥补真实设备高危场景训练不足、台套数有限的短板，强化学生面对极端工况的应急判断与规范处置能力。</w:t>
      </w:r>
    </w:p>
    <w:p w14:paraId="31C90B4E">
      <w:pPr>
        <w:snapToGrid w:val="0"/>
        <w:spacing w:line="360" w:lineRule="auto"/>
        <w:ind w:firstLine="480" w:firstLineChars="200"/>
        <w:rPr>
          <w:rFonts w:hint="eastAsia" w:ascii="仿宋_GB2312"/>
          <w:sz w:val="24"/>
          <w:szCs w:val="24"/>
          <w:highlight w:val="none"/>
        </w:rPr>
      </w:pPr>
      <w:r>
        <w:rPr>
          <w:rFonts w:hint="eastAsia" w:ascii="仿宋_GB2312"/>
          <w:sz w:val="24"/>
          <w:szCs w:val="24"/>
          <w:highlight w:val="none"/>
        </w:rPr>
        <w:t>（</w:t>
      </w:r>
      <w:r>
        <w:rPr>
          <w:rFonts w:hint="eastAsia" w:ascii="仿宋_GB2312"/>
          <w:sz w:val="24"/>
          <w:szCs w:val="24"/>
          <w:highlight w:val="none"/>
          <w:lang w:val="en-US" w:eastAsia="zh-CN"/>
        </w:rPr>
        <w:t>5）双创孵化基地</w:t>
      </w:r>
    </w:p>
    <w:p w14:paraId="5409D3DC">
      <w:pPr>
        <w:snapToGrid w:val="0"/>
        <w:spacing w:line="360" w:lineRule="auto"/>
        <w:ind w:firstLine="480" w:firstLineChars="200"/>
        <w:rPr>
          <w:rFonts w:hint="eastAsia" w:ascii="仿宋_GB2312"/>
          <w:sz w:val="24"/>
          <w:szCs w:val="24"/>
          <w:highlight w:val="none"/>
          <w:lang w:val="en-US" w:eastAsia="zh-CN"/>
        </w:rPr>
      </w:pPr>
      <w:r>
        <w:rPr>
          <w:rFonts w:hint="eastAsia" w:ascii="仿宋_GB2312"/>
          <w:sz w:val="24"/>
          <w:szCs w:val="24"/>
          <w:highlight w:val="none"/>
          <w:lang w:val="en-US" w:eastAsia="zh-CN"/>
        </w:rPr>
        <w:t>依托产业学院共建创新创业工作坊，配备故障模块检测维修台、充电桩老化测试架、数据分析工位及项目孵化路演区。面向充电站运维中产生的待修模块、退役充电模块等真实物料，引导学生开展故障复现、器件级维修、性能再标定等创新实践。基地对接企业横向课题与大学生创新创业项目，支持学生将检修成果转化为维修服务方案或专利成果，并引入企业技术专家进行项目化指导，培养学生在充电基础设施领域的工程思维与创业意识。</w:t>
      </w:r>
    </w:p>
    <w:p w14:paraId="6C2BD676">
      <w:pPr>
        <w:snapToGrid w:val="0"/>
        <w:spacing w:line="360" w:lineRule="auto"/>
        <w:ind w:firstLine="480" w:firstLineChars="200"/>
        <w:rPr>
          <w:rFonts w:hint="default" w:ascii="仿宋_GB2312"/>
          <w:sz w:val="24"/>
          <w:szCs w:val="24"/>
          <w:highlight w:val="none"/>
          <w:lang w:val="en-US"/>
        </w:rPr>
      </w:pPr>
      <w:r>
        <w:rPr>
          <w:rFonts w:hint="eastAsia" w:ascii="仿宋_GB2312"/>
          <w:sz w:val="24"/>
          <w:szCs w:val="24"/>
          <w:highlight w:val="none"/>
        </w:rPr>
        <w:t>（</w:t>
      </w:r>
      <w:r>
        <w:rPr>
          <w:rFonts w:hint="eastAsia" w:ascii="仿宋_GB2312"/>
          <w:sz w:val="24"/>
          <w:szCs w:val="24"/>
          <w:highlight w:val="none"/>
          <w:lang w:val="en-US" w:eastAsia="zh-CN"/>
        </w:rPr>
        <w:t>6）校外实桩实训基地</w:t>
      </w:r>
    </w:p>
    <w:p w14:paraId="5F5F75E6">
      <w:pPr>
        <w:snapToGrid w:val="0"/>
        <w:spacing w:line="360" w:lineRule="auto"/>
        <w:ind w:firstLine="480" w:firstLineChars="200"/>
        <w:rPr>
          <w:rFonts w:ascii="仿宋_GB2312" w:hAnsi="仿宋_GB2312" w:cs="仿宋_GB2312"/>
          <w:b/>
          <w:sz w:val="24"/>
          <w:szCs w:val="24"/>
          <w:highlight w:val="none"/>
        </w:rPr>
      </w:pPr>
      <w:r>
        <w:rPr>
          <w:rFonts w:hint="eastAsia" w:ascii="仿宋_GB2312"/>
          <w:sz w:val="24"/>
          <w:szCs w:val="24"/>
          <w:highlight w:val="none"/>
          <w:lang w:val="en-US" w:eastAsia="zh-CN"/>
        </w:rPr>
        <w:t>校外实训基地位于安徽充换电公司及合作充电站场，配备多品牌型号的直流快充桩、交流慢充桩及配套电力设施、智能运维终端与站点监控系统，均为真实运营中的充电设备。学生可参与充电桩的现场安装与验收、站点日常巡检、故障工单处理、充电安全应急响应及客户服务等真实工作流程。基地对接企业导师带徒制，学生将在运营高峰时段参与现场值守、设备抢修跟岗及充电数据核验等任务，直面设备老化、突发告警、车桩匹配异常等真实场景问题。通过全真职业环境历练，培养学生适应充电站运维岗位的实操速度、规范意识与现场沟通能力，实现校内技能训练与校外岗位作业的无缝衔接</w:t>
      </w:r>
    </w:p>
    <w:p w14:paraId="36AE1F60">
      <w:pPr>
        <w:snapToGrid w:val="0"/>
        <w:spacing w:line="360" w:lineRule="auto"/>
        <w:ind w:firstLine="482" w:firstLineChars="200"/>
        <w:rPr>
          <w:rFonts w:ascii="仿宋_GB2312" w:hAnsi="仿宋_GB2312" w:cs="仿宋_GB2312"/>
          <w:b/>
          <w:sz w:val="24"/>
          <w:szCs w:val="24"/>
          <w:highlight w:val="none"/>
        </w:rPr>
      </w:pPr>
      <w:r>
        <w:rPr>
          <w:rFonts w:ascii="仿宋_GB2312" w:hAnsi="仿宋_GB2312" w:cs="仿宋_GB2312"/>
          <w:b/>
          <w:sz w:val="24"/>
          <w:szCs w:val="24"/>
          <w:highlight w:val="none"/>
        </w:rPr>
        <w:t>3.</w:t>
      </w:r>
      <w:r>
        <w:rPr>
          <w:rFonts w:hint="eastAsia" w:ascii="仿宋_GB2312" w:hAnsi="仿宋_GB2312" w:cs="仿宋_GB2312"/>
          <w:b/>
          <w:sz w:val="24"/>
          <w:szCs w:val="24"/>
          <w:highlight w:val="none"/>
        </w:rPr>
        <w:t>实习场所基本要求</w:t>
      </w:r>
    </w:p>
    <w:p w14:paraId="50F68615">
      <w:pPr>
        <w:snapToGrid w:val="0"/>
        <w:spacing w:line="360" w:lineRule="auto"/>
        <w:ind w:firstLine="480" w:firstLineChars="200"/>
        <w:rPr>
          <w:rFonts w:ascii="仿宋_GB2312"/>
          <w:sz w:val="24"/>
          <w:szCs w:val="24"/>
          <w:highlight w:val="none"/>
        </w:rPr>
      </w:pPr>
      <w:r>
        <w:rPr>
          <w:rFonts w:hint="eastAsia" w:ascii="仿宋_GB2312"/>
          <w:sz w:val="24"/>
          <w:szCs w:val="24"/>
          <w:highlight w:val="none"/>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根据本专业人才培养的需要和未来就业需求，实习基地应能提供新能源汽车维护、新能源汽车检测与维修、新能源汽车充电设备装调检测与维护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1C82B629">
      <w:pPr>
        <w:pStyle w:val="3"/>
        <w:ind w:firstLine="482"/>
        <w:rPr>
          <w:sz w:val="24"/>
          <w:szCs w:val="24"/>
          <w:highlight w:val="none"/>
        </w:rPr>
      </w:pPr>
      <w:bookmarkStart w:id="73" w:name="_Toc201407686"/>
      <w:r>
        <w:rPr>
          <w:rFonts w:hint="eastAsia"/>
          <w:sz w:val="24"/>
          <w:szCs w:val="24"/>
          <w:highlight w:val="none"/>
        </w:rPr>
        <w:t>（三）教学资源</w:t>
      </w:r>
      <w:bookmarkEnd w:id="73"/>
    </w:p>
    <w:p w14:paraId="5D931743">
      <w:pPr>
        <w:pStyle w:val="97"/>
        <w:snapToGrid w:val="0"/>
        <w:spacing w:line="360" w:lineRule="auto"/>
        <w:ind w:firstLine="480"/>
        <w:rPr>
          <w:rFonts w:ascii="仿宋_GB2312"/>
          <w:sz w:val="24"/>
          <w:szCs w:val="24"/>
          <w:highlight w:val="none"/>
        </w:rPr>
      </w:pPr>
      <w:r>
        <w:rPr>
          <w:rFonts w:hint="eastAsia" w:ascii="仿宋_GB2312"/>
          <w:sz w:val="24"/>
          <w:szCs w:val="24"/>
          <w:highlight w:val="none"/>
        </w:rPr>
        <w:t>主要包括能够满足学生专业学习、教师专业教学研究和教学实施需要的教材、图书及数字资源等。</w:t>
      </w:r>
    </w:p>
    <w:p w14:paraId="14BCB678">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1</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教材选用基本要求</w:t>
      </w:r>
    </w:p>
    <w:p w14:paraId="26B0CC79">
      <w:pPr>
        <w:pStyle w:val="97"/>
        <w:snapToGrid w:val="0"/>
        <w:spacing w:line="360" w:lineRule="auto"/>
        <w:ind w:firstLine="480"/>
        <w:rPr>
          <w:rFonts w:ascii="仿宋_GB2312"/>
          <w:sz w:val="24"/>
          <w:szCs w:val="24"/>
          <w:highlight w:val="none"/>
        </w:rPr>
      </w:pPr>
      <w:r>
        <w:rPr>
          <w:rFonts w:hint="eastAsia" w:ascii="仿宋_GB2312"/>
          <w:sz w:val="24"/>
          <w:szCs w:val="24"/>
          <w:highlight w:val="none"/>
        </w:rPr>
        <w:t>按照国家规定，经过规范程序选用教材，优先选用国家规划教材和国家优秀教材。专业课程教材应体现本行业新技术、新规范、新标准、新形态，并通过数字教材、活页式教材等多种方式进行动态更新。</w:t>
      </w:r>
    </w:p>
    <w:p w14:paraId="67A0FE3E">
      <w:pPr>
        <w:snapToGrid w:val="0"/>
        <w:spacing w:line="360" w:lineRule="auto"/>
        <w:ind w:firstLine="482" w:firstLineChars="200"/>
        <w:rPr>
          <w:rFonts w:ascii="仿宋_GB2312" w:hAnsi="仿宋_GB2312" w:cs="仿宋_GB2312"/>
          <w:b/>
          <w:sz w:val="24"/>
          <w:szCs w:val="24"/>
          <w:highlight w:val="none"/>
        </w:rPr>
      </w:pPr>
      <w:r>
        <w:rPr>
          <w:rFonts w:ascii="仿宋_GB2312" w:hAnsi="仿宋_GB2312" w:cs="仿宋_GB2312"/>
          <w:b/>
          <w:sz w:val="24"/>
          <w:szCs w:val="24"/>
          <w:highlight w:val="none"/>
        </w:rPr>
        <w:t>2.</w:t>
      </w:r>
      <w:r>
        <w:rPr>
          <w:rFonts w:hint="eastAsia" w:ascii="仿宋_GB2312" w:hAnsi="仿宋_GB2312" w:cs="仿宋_GB2312"/>
          <w:b/>
          <w:sz w:val="24"/>
          <w:szCs w:val="24"/>
          <w:highlight w:val="none"/>
        </w:rPr>
        <w:t>图书文献配备基本要求</w:t>
      </w:r>
    </w:p>
    <w:p w14:paraId="26468AE2">
      <w:pPr>
        <w:pStyle w:val="97"/>
        <w:snapToGrid w:val="0"/>
        <w:spacing w:line="360" w:lineRule="auto"/>
        <w:ind w:firstLine="480"/>
        <w:rPr>
          <w:rFonts w:ascii="仿宋_GB2312"/>
          <w:sz w:val="24"/>
          <w:szCs w:val="24"/>
          <w:highlight w:val="none"/>
        </w:rPr>
      </w:pPr>
      <w:r>
        <w:rPr>
          <w:rFonts w:hint="eastAsia" w:ascii="仿宋_GB2312"/>
          <w:sz w:val="24"/>
          <w:szCs w:val="24"/>
          <w:highlight w:val="none"/>
        </w:rPr>
        <w:t>图书文献配备能满足人才培养、专业建设、教科研等工作的需要。专业类图书文献主要包括：有关</w:t>
      </w:r>
      <w:r>
        <w:rPr>
          <w:rFonts w:hint="eastAsia" w:ascii="仿宋_GB2312"/>
          <w:sz w:val="24"/>
          <w:szCs w:val="24"/>
          <w:highlight w:val="none"/>
          <w:lang w:val="en-US" w:eastAsia="zh-CN"/>
        </w:rPr>
        <w:t>新能源</w:t>
      </w:r>
      <w:r>
        <w:rPr>
          <w:rFonts w:hint="eastAsia" w:ascii="仿宋_GB2312"/>
          <w:sz w:val="24"/>
          <w:szCs w:val="24"/>
          <w:highlight w:val="none"/>
        </w:rPr>
        <w:t>技术、方法、标准、思维以及实务操作类图书，</w:t>
      </w:r>
      <w:r>
        <w:rPr>
          <w:rFonts w:hint="eastAsia" w:ascii="仿宋_GB2312"/>
          <w:sz w:val="24"/>
          <w:szCs w:val="24"/>
          <w:highlight w:val="none"/>
          <w:lang w:val="en-US" w:eastAsia="zh-CN"/>
        </w:rPr>
        <w:t>汽车构造</w:t>
      </w:r>
      <w:r>
        <w:rPr>
          <w:rFonts w:hint="eastAsia" w:ascii="仿宋_GB2312"/>
          <w:sz w:val="24"/>
          <w:szCs w:val="24"/>
          <w:highlight w:val="none"/>
        </w:rPr>
        <w:t>和</w:t>
      </w:r>
      <w:r>
        <w:rPr>
          <w:rFonts w:hint="eastAsia" w:ascii="仿宋_GB2312"/>
          <w:sz w:val="24"/>
          <w:szCs w:val="24"/>
          <w:highlight w:val="none"/>
          <w:lang w:val="en-US" w:eastAsia="zh-CN"/>
        </w:rPr>
        <w:t>电子电工</w:t>
      </w:r>
      <w:r>
        <w:rPr>
          <w:rFonts w:hint="eastAsia" w:ascii="仿宋_GB2312"/>
          <w:sz w:val="24"/>
          <w:szCs w:val="24"/>
          <w:highlight w:val="none"/>
        </w:rPr>
        <w:t>类文献等。及时配置新经济、新技术、新工艺、新材料、新管理方式、新服务方式等相关的图书文献。</w:t>
      </w:r>
    </w:p>
    <w:p w14:paraId="7B4ACB54">
      <w:pPr>
        <w:snapToGrid w:val="0"/>
        <w:spacing w:line="360" w:lineRule="auto"/>
        <w:ind w:firstLine="482" w:firstLineChars="200"/>
        <w:rPr>
          <w:rFonts w:ascii="仿宋_GB2312" w:hAnsi="仿宋_GB2312" w:cs="仿宋_GB2312"/>
          <w:b/>
          <w:sz w:val="24"/>
          <w:szCs w:val="24"/>
          <w:highlight w:val="none"/>
        </w:rPr>
      </w:pPr>
      <w:r>
        <w:rPr>
          <w:rFonts w:ascii="仿宋_GB2312" w:hAnsi="仿宋_GB2312" w:cs="仿宋_GB2312"/>
          <w:b/>
          <w:sz w:val="24"/>
          <w:szCs w:val="24"/>
          <w:highlight w:val="none"/>
        </w:rPr>
        <w:t>3.</w:t>
      </w:r>
      <w:r>
        <w:rPr>
          <w:rFonts w:hint="eastAsia" w:ascii="仿宋_GB2312" w:hAnsi="仿宋_GB2312" w:cs="仿宋_GB2312"/>
          <w:b/>
          <w:sz w:val="24"/>
          <w:szCs w:val="24"/>
          <w:highlight w:val="none"/>
        </w:rPr>
        <w:t>数字教学资源配置基本要求</w:t>
      </w:r>
    </w:p>
    <w:p w14:paraId="7F673D70">
      <w:pPr>
        <w:pStyle w:val="97"/>
        <w:snapToGrid w:val="0"/>
        <w:spacing w:line="360" w:lineRule="auto"/>
        <w:ind w:firstLine="480"/>
        <w:rPr>
          <w:rFonts w:ascii="仿宋_GB2312"/>
          <w:sz w:val="24"/>
          <w:szCs w:val="24"/>
          <w:highlight w:val="none"/>
        </w:rPr>
      </w:pPr>
      <w:r>
        <w:rPr>
          <w:rFonts w:hint="eastAsia" w:ascii="仿宋_GB2312"/>
          <w:sz w:val="24"/>
          <w:szCs w:val="24"/>
          <w:highlight w:val="none"/>
        </w:rPr>
        <w:t>建设、配备与本专业有关的音视频素材、教学课件、数字化教学案例库、虚拟仿真软件等专业教学资源库，种类丰富、形式多样、使用便捷、动态更新、满足教学。</w:t>
      </w:r>
    </w:p>
    <w:p w14:paraId="36ACEF7E">
      <w:pPr>
        <w:pStyle w:val="3"/>
        <w:ind w:firstLine="482"/>
        <w:rPr>
          <w:sz w:val="24"/>
          <w:szCs w:val="24"/>
          <w:highlight w:val="none"/>
        </w:rPr>
      </w:pPr>
      <w:bookmarkStart w:id="74" w:name="_Toc201407687"/>
      <w:r>
        <w:rPr>
          <w:rFonts w:hint="eastAsia"/>
          <w:sz w:val="24"/>
          <w:szCs w:val="24"/>
          <w:highlight w:val="none"/>
        </w:rPr>
        <w:t>（四）教学方法</w:t>
      </w:r>
      <w:bookmarkEnd w:id="74"/>
    </w:p>
    <w:p w14:paraId="236C8DB7">
      <w:pPr>
        <w:pStyle w:val="97"/>
        <w:snapToGrid w:val="0"/>
        <w:spacing w:line="360" w:lineRule="auto"/>
        <w:ind w:firstLine="480"/>
        <w:rPr>
          <w:rFonts w:ascii="仿宋_GB2312"/>
          <w:sz w:val="24"/>
          <w:szCs w:val="24"/>
          <w:highlight w:val="none"/>
        </w:rPr>
      </w:pPr>
      <w:r>
        <w:rPr>
          <w:rFonts w:hint="eastAsia" w:ascii="仿宋_GB2312"/>
          <w:sz w:val="24"/>
          <w:szCs w:val="24"/>
          <w:highlight w:val="none"/>
        </w:rPr>
        <w:t>教师应主动学习现代教育技术，提高数字素养，利用各类教学平台组织教学。专业课程在不同教学阶段应根据每门课程内容的实际，鼓励实施</w:t>
      </w:r>
      <w:r>
        <w:rPr>
          <w:rFonts w:hint="eastAsia" w:ascii="黑体" w:hAnsi="黑体" w:eastAsia="黑体"/>
          <w:sz w:val="24"/>
          <w:szCs w:val="24"/>
          <w:highlight w:val="none"/>
        </w:rPr>
        <w:t>项目式、任务式、案例式、情境化教学，强化案例教学、教学互动、情景创设、方法创新、实践锻炼</w:t>
      </w:r>
      <w:r>
        <w:rPr>
          <w:rFonts w:hint="eastAsia" w:ascii="仿宋_GB2312"/>
          <w:sz w:val="24"/>
          <w:szCs w:val="24"/>
          <w:highlight w:val="none"/>
        </w:rPr>
        <w:t>，打造优质课堂。</w:t>
      </w:r>
    </w:p>
    <w:p w14:paraId="16857043">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1</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强化案例教学</w:t>
      </w:r>
    </w:p>
    <w:p w14:paraId="18307875">
      <w:pPr>
        <w:pStyle w:val="97"/>
        <w:snapToGrid w:val="0"/>
        <w:spacing w:line="360" w:lineRule="auto"/>
        <w:ind w:firstLine="480"/>
        <w:rPr>
          <w:rFonts w:ascii="仿宋_GB2312"/>
          <w:sz w:val="24"/>
          <w:szCs w:val="24"/>
          <w:highlight w:val="none"/>
        </w:rPr>
      </w:pPr>
      <w:r>
        <w:rPr>
          <w:rFonts w:hint="eastAsia" w:ascii="仿宋_GB2312"/>
          <w:sz w:val="24"/>
          <w:szCs w:val="24"/>
          <w:highlight w:val="none"/>
        </w:rPr>
        <w:t>应加强对学生实际职业能力的培养，强化案例教学或项目教学，注重以任务引领型案例或项目作业来诱发学生兴趣，使学生在案例分析或完成项目的过程中掌握未来职业岗位工作的实际操作要领。</w:t>
      </w:r>
    </w:p>
    <w:p w14:paraId="1689EA3C">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2</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强化教学互动</w:t>
      </w:r>
    </w:p>
    <w:p w14:paraId="43EBCF72">
      <w:pPr>
        <w:pStyle w:val="97"/>
        <w:snapToGrid w:val="0"/>
        <w:spacing w:line="360" w:lineRule="auto"/>
        <w:ind w:firstLine="480"/>
        <w:rPr>
          <w:rFonts w:ascii="仿宋_GB2312"/>
          <w:sz w:val="24"/>
          <w:szCs w:val="24"/>
          <w:highlight w:val="none"/>
        </w:rPr>
      </w:pPr>
      <w:r>
        <w:rPr>
          <w:rFonts w:hint="eastAsia" w:ascii="仿宋_GB2312"/>
          <w:sz w:val="24"/>
          <w:szCs w:val="24"/>
          <w:highlight w:val="none"/>
        </w:rPr>
        <w:t>应以学生为本，注重“学”与“教”的互动，以“学”为主，强化“学中教”。通过选用典型活动或实务操作项目，组织学生进行预习并完成活动或实务操作项目，课上让学生展示学习成果，教师一方面在完成活动或实务操作项目时进行指导，另一方面对学习成果进行评价，并总结课程知识点的方式，让学生在活动中增强职业意识和掌握职业能力。</w:t>
      </w:r>
    </w:p>
    <w:p w14:paraId="4882257A">
      <w:pPr>
        <w:snapToGrid w:val="0"/>
        <w:spacing w:line="360" w:lineRule="auto"/>
        <w:ind w:firstLine="482" w:firstLineChars="200"/>
        <w:rPr>
          <w:rFonts w:ascii="仿宋_GB2312" w:hAnsi="仿宋_GB2312" w:cs="仿宋_GB2312"/>
          <w:b/>
          <w:sz w:val="24"/>
          <w:szCs w:val="24"/>
          <w:highlight w:val="none"/>
        </w:rPr>
      </w:pPr>
      <w:r>
        <w:rPr>
          <w:rFonts w:ascii="仿宋_GB2312" w:hAnsi="仿宋_GB2312" w:cs="仿宋_GB2312"/>
          <w:b/>
          <w:sz w:val="24"/>
          <w:szCs w:val="24"/>
          <w:highlight w:val="none"/>
        </w:rPr>
        <w:t>3.</w:t>
      </w:r>
      <w:r>
        <w:rPr>
          <w:rFonts w:hint="eastAsia" w:ascii="仿宋_GB2312" w:hAnsi="仿宋_GB2312" w:cs="仿宋_GB2312"/>
          <w:b/>
          <w:sz w:val="24"/>
          <w:szCs w:val="24"/>
          <w:highlight w:val="none"/>
        </w:rPr>
        <w:t>强化情景创设</w:t>
      </w:r>
    </w:p>
    <w:p w14:paraId="43E483B9">
      <w:pPr>
        <w:pStyle w:val="97"/>
        <w:snapToGrid w:val="0"/>
        <w:spacing w:line="360" w:lineRule="auto"/>
        <w:ind w:firstLine="480"/>
        <w:rPr>
          <w:rFonts w:ascii="仿宋_GB2312"/>
          <w:sz w:val="24"/>
          <w:szCs w:val="24"/>
          <w:highlight w:val="none"/>
        </w:rPr>
      </w:pPr>
      <w:r>
        <w:rPr>
          <w:rFonts w:hint="eastAsia" w:ascii="仿宋_GB2312"/>
          <w:sz w:val="24"/>
          <w:szCs w:val="24"/>
          <w:highlight w:val="none"/>
        </w:rPr>
        <w:t>应注重职业情景的创设，以多媒体、录像、案例分析、角色扮演、实验实训等多种方法来提高学生分析问题和解决问题的能力。</w:t>
      </w:r>
    </w:p>
    <w:p w14:paraId="309E3835">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4</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强化方法创新</w:t>
      </w:r>
    </w:p>
    <w:p w14:paraId="40DF2797">
      <w:pPr>
        <w:pStyle w:val="97"/>
        <w:snapToGrid w:val="0"/>
        <w:spacing w:line="360" w:lineRule="auto"/>
        <w:ind w:firstLine="480"/>
        <w:rPr>
          <w:rFonts w:ascii="仿宋_GB2312"/>
          <w:sz w:val="24"/>
          <w:szCs w:val="24"/>
          <w:highlight w:val="none"/>
        </w:rPr>
      </w:pPr>
      <w:r>
        <w:rPr>
          <w:rFonts w:hint="eastAsia" w:ascii="仿宋_GB2312"/>
          <w:sz w:val="24"/>
          <w:szCs w:val="24"/>
          <w:highlight w:val="none"/>
        </w:rPr>
        <w:t>应创新教学方式方法，通过探究式、体验式、项目任务驱动式、案例分析式、互动式、参与式、角色转换式、竞赛式等形式多样的教学方式方法，构建准职业化的现场教学环境，将真实项目、真实环境引入到教学当中，发挥合作企业的资源优势、加强合作企业在教学中的作用，将模拟情景与真实环境相结合，使学生在“做中学、学中做”，形成一套符合现代职业教育教学理念的现代教学方法体系。</w:t>
      </w:r>
    </w:p>
    <w:p w14:paraId="4BFE99A1">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5</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强化实践锻炼</w:t>
      </w:r>
    </w:p>
    <w:p w14:paraId="0158A429">
      <w:pPr>
        <w:pStyle w:val="97"/>
        <w:snapToGrid w:val="0"/>
        <w:spacing w:line="360" w:lineRule="auto"/>
        <w:ind w:firstLine="480"/>
        <w:rPr>
          <w:rFonts w:ascii="仿宋_GB2312"/>
          <w:sz w:val="24"/>
          <w:szCs w:val="24"/>
          <w:highlight w:val="none"/>
        </w:rPr>
      </w:pPr>
      <w:r>
        <w:rPr>
          <w:rFonts w:hint="eastAsia" w:ascii="仿宋_GB2312"/>
          <w:sz w:val="24"/>
          <w:szCs w:val="24"/>
          <w:highlight w:val="none"/>
        </w:rPr>
        <w:t>教师必须重视实践，更新观念，加强校企合作，实行工学结合，走产学研相结合的道路，为学生提供自主发展的时间和空间，为学生提供轮岗实训的机会与平台，积极引导学生提升职业素养，努力提高学生的创新能力。</w:t>
      </w:r>
    </w:p>
    <w:p w14:paraId="409E773C">
      <w:pPr>
        <w:pStyle w:val="3"/>
        <w:ind w:firstLine="482"/>
        <w:rPr>
          <w:sz w:val="24"/>
          <w:szCs w:val="24"/>
          <w:highlight w:val="none"/>
        </w:rPr>
      </w:pPr>
      <w:bookmarkStart w:id="75" w:name="_Toc201407688"/>
      <w:r>
        <w:rPr>
          <w:rFonts w:hint="eastAsia"/>
          <w:sz w:val="24"/>
          <w:szCs w:val="24"/>
          <w:highlight w:val="none"/>
        </w:rPr>
        <w:t>（五）学习评价</w:t>
      </w:r>
      <w:bookmarkEnd w:id="75"/>
    </w:p>
    <w:p w14:paraId="1A51176F">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1</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多元评价机制</w:t>
      </w:r>
    </w:p>
    <w:p w14:paraId="33FCCC13">
      <w:pPr>
        <w:pStyle w:val="97"/>
        <w:snapToGrid w:val="0"/>
        <w:spacing w:line="360" w:lineRule="auto"/>
        <w:ind w:firstLine="480"/>
        <w:rPr>
          <w:rFonts w:ascii="仿宋_GB2312"/>
          <w:sz w:val="24"/>
          <w:szCs w:val="24"/>
          <w:highlight w:val="none"/>
        </w:rPr>
      </w:pPr>
      <w:r>
        <w:rPr>
          <w:rFonts w:hint="eastAsia" w:ascii="仿宋_GB2312"/>
          <w:sz w:val="24"/>
          <w:szCs w:val="24"/>
          <w:highlight w:val="none"/>
        </w:rPr>
        <w:t>建立多元评价机制，对学生学习效果实施自我评价、教师评价、用人单位评价和第三方评价相结合，及时诊断分析、发现问题、查摆原因、提出整改措施，不断改进提高，形成教学质量改进螺旋。建立评价主体多元化（教师、学生、家长、用人单位）、评价内容综合化（专业知识、操作技能、职业素养）、评价方法多样化（项目完成、操作、社会实践、志愿者、理论考核）的评价体系。</w:t>
      </w:r>
    </w:p>
    <w:p w14:paraId="042DCB13">
      <w:pPr>
        <w:pStyle w:val="97"/>
        <w:snapToGrid w:val="0"/>
        <w:spacing w:line="360" w:lineRule="auto"/>
        <w:ind w:firstLine="480"/>
        <w:rPr>
          <w:rFonts w:ascii="仿宋_GB2312"/>
          <w:sz w:val="24"/>
          <w:szCs w:val="24"/>
          <w:highlight w:val="none"/>
        </w:rPr>
      </w:pPr>
      <w:r>
        <w:rPr>
          <w:rFonts w:hint="eastAsia" w:ascii="仿宋_GB2312"/>
          <w:sz w:val="24"/>
          <w:szCs w:val="24"/>
          <w:highlight w:val="none"/>
        </w:rPr>
        <w:t>（1）过程性</w:t>
      </w:r>
    </w:p>
    <w:p w14:paraId="6BD44708">
      <w:pPr>
        <w:pStyle w:val="97"/>
        <w:snapToGrid w:val="0"/>
        <w:spacing w:line="360" w:lineRule="auto"/>
        <w:ind w:firstLine="480"/>
        <w:rPr>
          <w:rFonts w:ascii="仿宋_GB2312"/>
          <w:sz w:val="24"/>
          <w:szCs w:val="24"/>
          <w:highlight w:val="none"/>
        </w:rPr>
      </w:pPr>
      <w:r>
        <w:rPr>
          <w:rFonts w:hint="eastAsia" w:ascii="仿宋_GB2312"/>
          <w:sz w:val="24"/>
          <w:szCs w:val="24"/>
          <w:highlight w:val="none"/>
        </w:rPr>
        <w:t>从平时课堂检测、课后相关任务（作业、小论述、团体活动讨论）、实验实训操作水平、实践技能、理论测试等过程加以考核。</w:t>
      </w:r>
    </w:p>
    <w:p w14:paraId="49B5E169">
      <w:pPr>
        <w:pStyle w:val="97"/>
        <w:snapToGrid w:val="0"/>
        <w:spacing w:line="360" w:lineRule="auto"/>
        <w:ind w:firstLine="480"/>
        <w:rPr>
          <w:rFonts w:ascii="仿宋_GB2312"/>
          <w:sz w:val="24"/>
          <w:szCs w:val="24"/>
          <w:highlight w:val="none"/>
        </w:rPr>
      </w:pPr>
      <w:r>
        <w:rPr>
          <w:rFonts w:hint="eastAsia" w:ascii="仿宋_GB2312"/>
          <w:sz w:val="24"/>
          <w:szCs w:val="24"/>
          <w:highlight w:val="none"/>
        </w:rPr>
        <w:t>（2）综合性</w:t>
      </w:r>
    </w:p>
    <w:p w14:paraId="61955B60">
      <w:pPr>
        <w:pStyle w:val="97"/>
        <w:snapToGrid w:val="0"/>
        <w:spacing w:line="360" w:lineRule="auto"/>
        <w:ind w:firstLine="480"/>
        <w:rPr>
          <w:rFonts w:ascii="仿宋_GB2312"/>
          <w:sz w:val="24"/>
          <w:szCs w:val="24"/>
          <w:highlight w:val="none"/>
        </w:rPr>
      </w:pPr>
      <w:r>
        <w:rPr>
          <w:rFonts w:hint="eastAsia" w:ascii="仿宋_GB2312"/>
          <w:sz w:val="24"/>
          <w:szCs w:val="24"/>
          <w:highlight w:val="none"/>
        </w:rPr>
        <w:t>考核学生的专业知识、专业技能、职业素质，结合学生的职业素养（职业道德、人文素质、职业意识、职业态度）与专业评价综合考核。</w:t>
      </w:r>
    </w:p>
    <w:p w14:paraId="39DF50BC">
      <w:pPr>
        <w:pStyle w:val="97"/>
        <w:snapToGrid w:val="0"/>
        <w:spacing w:line="360" w:lineRule="auto"/>
        <w:ind w:firstLine="480"/>
        <w:rPr>
          <w:rFonts w:ascii="仿宋_GB2312"/>
          <w:sz w:val="24"/>
          <w:szCs w:val="24"/>
          <w:highlight w:val="none"/>
        </w:rPr>
      </w:pPr>
      <w:r>
        <w:rPr>
          <w:rFonts w:hint="eastAsia" w:ascii="仿宋_GB2312"/>
          <w:sz w:val="24"/>
          <w:szCs w:val="24"/>
          <w:highlight w:val="none"/>
        </w:rPr>
        <w:t>（3）行业评价</w:t>
      </w:r>
    </w:p>
    <w:p w14:paraId="4729147D">
      <w:pPr>
        <w:pStyle w:val="97"/>
        <w:snapToGrid w:val="0"/>
        <w:spacing w:line="360" w:lineRule="auto"/>
        <w:ind w:firstLine="480"/>
        <w:rPr>
          <w:rFonts w:ascii="仿宋_GB2312"/>
          <w:sz w:val="24"/>
          <w:szCs w:val="24"/>
          <w:highlight w:val="none"/>
        </w:rPr>
      </w:pPr>
      <w:r>
        <w:rPr>
          <w:rFonts w:hint="eastAsia" w:ascii="仿宋_GB2312"/>
          <w:sz w:val="24"/>
          <w:szCs w:val="24"/>
          <w:highlight w:val="none"/>
        </w:rPr>
        <w:t>用人单位、实习单位对学生的职业胜任、职业发展、综合素质、专业知识和技能的评价。</w:t>
      </w:r>
    </w:p>
    <w:p w14:paraId="0E03D13C">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2</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多种评价方式</w:t>
      </w:r>
    </w:p>
    <w:p w14:paraId="437EABC3">
      <w:pPr>
        <w:pStyle w:val="97"/>
        <w:snapToGrid w:val="0"/>
        <w:spacing w:line="360" w:lineRule="auto"/>
        <w:ind w:firstLine="480"/>
        <w:rPr>
          <w:rFonts w:ascii="仿宋_GB2312"/>
          <w:sz w:val="24"/>
          <w:szCs w:val="24"/>
          <w:highlight w:val="none"/>
        </w:rPr>
      </w:pPr>
      <w:r>
        <w:rPr>
          <w:rFonts w:hint="eastAsia" w:ascii="仿宋_GB2312"/>
          <w:sz w:val="24"/>
          <w:szCs w:val="24"/>
          <w:highlight w:val="none"/>
        </w:rPr>
        <w:t>所有必修课和学生选定的选修课及综合实训等均在教学过程中或完成教学目标时进行知识和技能考核，合格者取得该课程学分。评价体系包括：笔试、实践技能考核、项目实施技能考核、技能竞赛等多种考核方式。每门课程评价根据课程的不同特点，采用其中一种或多种考核方式相合的形式进行。</w:t>
      </w:r>
    </w:p>
    <w:p w14:paraId="6D901DD2">
      <w:pPr>
        <w:pStyle w:val="97"/>
        <w:snapToGrid w:val="0"/>
        <w:spacing w:line="360" w:lineRule="auto"/>
        <w:ind w:firstLine="480"/>
        <w:rPr>
          <w:rFonts w:ascii="仿宋_GB2312"/>
          <w:sz w:val="24"/>
          <w:szCs w:val="24"/>
          <w:highlight w:val="none"/>
        </w:rPr>
      </w:pPr>
      <w:r>
        <w:rPr>
          <w:rFonts w:hint="eastAsia" w:ascii="仿宋_GB2312"/>
          <w:sz w:val="24"/>
          <w:szCs w:val="24"/>
          <w:highlight w:val="none"/>
        </w:rPr>
        <w:t>（1）笔试</w:t>
      </w:r>
    </w:p>
    <w:p w14:paraId="4CD4F427">
      <w:pPr>
        <w:pStyle w:val="97"/>
        <w:snapToGrid w:val="0"/>
        <w:spacing w:line="360" w:lineRule="auto"/>
        <w:ind w:firstLine="480"/>
        <w:rPr>
          <w:rFonts w:ascii="仿宋_GB2312"/>
          <w:sz w:val="24"/>
          <w:szCs w:val="24"/>
          <w:highlight w:val="none"/>
        </w:rPr>
      </w:pPr>
      <w:r>
        <w:rPr>
          <w:rFonts w:hint="eastAsia" w:ascii="仿宋_GB2312"/>
          <w:sz w:val="24"/>
          <w:szCs w:val="24"/>
          <w:highlight w:val="none"/>
        </w:rPr>
        <w:t>适用于理论性比较强的课程。考核成绩采用百分制，该门课程不合格，不能取得相应学分，由专业教师组织考核。</w:t>
      </w:r>
    </w:p>
    <w:p w14:paraId="20A7678B">
      <w:pPr>
        <w:pStyle w:val="97"/>
        <w:snapToGrid w:val="0"/>
        <w:spacing w:line="360" w:lineRule="auto"/>
        <w:ind w:firstLine="480"/>
        <w:rPr>
          <w:rFonts w:ascii="仿宋_GB2312"/>
          <w:sz w:val="24"/>
          <w:szCs w:val="24"/>
          <w:highlight w:val="none"/>
        </w:rPr>
      </w:pPr>
      <w:r>
        <w:rPr>
          <w:rFonts w:hint="eastAsia" w:ascii="仿宋_GB2312"/>
          <w:sz w:val="24"/>
          <w:szCs w:val="24"/>
          <w:highlight w:val="none"/>
        </w:rPr>
        <w:t>（2）实践技能考核</w:t>
      </w:r>
    </w:p>
    <w:p w14:paraId="513BFE23">
      <w:pPr>
        <w:pStyle w:val="97"/>
        <w:snapToGrid w:val="0"/>
        <w:spacing w:line="360" w:lineRule="auto"/>
        <w:ind w:firstLine="480"/>
        <w:rPr>
          <w:rFonts w:ascii="仿宋_GB2312"/>
          <w:sz w:val="24"/>
          <w:szCs w:val="24"/>
          <w:highlight w:val="none"/>
        </w:rPr>
      </w:pPr>
      <w:r>
        <w:rPr>
          <w:rFonts w:hint="eastAsia" w:ascii="仿宋_GB2312"/>
          <w:sz w:val="24"/>
          <w:szCs w:val="24"/>
          <w:highlight w:val="none"/>
        </w:rPr>
        <w:t>适用于实践性比较强的课程。技能考核应根据应职岗位技能要求，确定其相应的主要技能考核项目，由专兼职教师共同组织考核。</w:t>
      </w:r>
    </w:p>
    <w:p w14:paraId="059158DD">
      <w:pPr>
        <w:pStyle w:val="97"/>
        <w:snapToGrid w:val="0"/>
        <w:spacing w:line="360" w:lineRule="auto"/>
        <w:ind w:firstLine="480"/>
        <w:rPr>
          <w:rFonts w:ascii="仿宋_GB2312"/>
          <w:sz w:val="24"/>
          <w:szCs w:val="24"/>
          <w:highlight w:val="none"/>
        </w:rPr>
      </w:pPr>
      <w:r>
        <w:rPr>
          <w:rFonts w:hint="eastAsia" w:ascii="仿宋_GB2312"/>
          <w:sz w:val="24"/>
          <w:szCs w:val="24"/>
          <w:highlight w:val="none"/>
        </w:rPr>
        <w:t>（3）项目实施技能考核</w:t>
      </w:r>
    </w:p>
    <w:p w14:paraId="340AC916">
      <w:pPr>
        <w:pStyle w:val="97"/>
        <w:snapToGrid w:val="0"/>
        <w:spacing w:line="360" w:lineRule="auto"/>
        <w:ind w:firstLine="480"/>
        <w:rPr>
          <w:rFonts w:ascii="仿宋_GB2312"/>
          <w:sz w:val="24"/>
          <w:szCs w:val="24"/>
          <w:highlight w:val="none"/>
        </w:rPr>
      </w:pPr>
      <w:r>
        <w:rPr>
          <w:rFonts w:hint="eastAsia" w:ascii="仿宋_GB2312"/>
          <w:sz w:val="24"/>
          <w:szCs w:val="24"/>
          <w:highlight w:val="none"/>
        </w:rPr>
        <w:t>综合项目实训课程主要是通过项目开展的，课程考核旨在评价学生综合专业技能掌握的情况及工作态度及团队合作能力，因而通常采取项目实施过程考核与实践技能考核相结合进行综合评价，由专兼职教师共同组织考核。</w:t>
      </w:r>
    </w:p>
    <w:p w14:paraId="1CD130AE">
      <w:pPr>
        <w:pStyle w:val="97"/>
        <w:snapToGrid w:val="0"/>
        <w:spacing w:line="360" w:lineRule="auto"/>
        <w:ind w:firstLine="480"/>
        <w:rPr>
          <w:rFonts w:ascii="仿宋_GB2312"/>
          <w:sz w:val="24"/>
          <w:szCs w:val="24"/>
          <w:highlight w:val="none"/>
        </w:rPr>
      </w:pPr>
      <w:r>
        <w:rPr>
          <w:rFonts w:hint="eastAsia" w:ascii="仿宋_GB2312"/>
          <w:sz w:val="24"/>
          <w:szCs w:val="24"/>
          <w:highlight w:val="none"/>
        </w:rPr>
        <w:t>（4）岗位绩效考核</w:t>
      </w:r>
    </w:p>
    <w:p w14:paraId="204534F7">
      <w:pPr>
        <w:pStyle w:val="97"/>
        <w:snapToGrid w:val="0"/>
        <w:spacing w:line="360" w:lineRule="auto"/>
        <w:ind w:firstLine="480"/>
        <w:rPr>
          <w:rFonts w:ascii="仿宋_GB2312"/>
          <w:sz w:val="24"/>
          <w:szCs w:val="24"/>
          <w:highlight w:val="none"/>
        </w:rPr>
      </w:pPr>
      <w:r>
        <w:rPr>
          <w:rFonts w:hint="eastAsia" w:ascii="仿宋_GB2312"/>
          <w:sz w:val="24"/>
          <w:szCs w:val="24"/>
          <w:highlight w:val="none"/>
        </w:rPr>
        <w:t>在企业中开设的课程，如顶岗实习等，由企业与学校进行共同考核，企业考核主要以企业对学生的岗位工作执行情况进行绩效考核。</w:t>
      </w:r>
    </w:p>
    <w:p w14:paraId="1A0DB296">
      <w:pPr>
        <w:pStyle w:val="97"/>
        <w:snapToGrid w:val="0"/>
        <w:spacing w:line="360" w:lineRule="auto"/>
        <w:ind w:firstLine="480"/>
        <w:rPr>
          <w:rFonts w:ascii="仿宋_GB2312"/>
          <w:sz w:val="24"/>
          <w:szCs w:val="24"/>
          <w:highlight w:val="none"/>
        </w:rPr>
      </w:pPr>
      <w:r>
        <w:rPr>
          <w:rFonts w:hint="eastAsia" w:ascii="仿宋_GB2312"/>
          <w:sz w:val="24"/>
          <w:szCs w:val="24"/>
          <w:highlight w:val="none"/>
        </w:rPr>
        <w:t>（5）技能竞赛</w:t>
      </w:r>
    </w:p>
    <w:p w14:paraId="1A88E994">
      <w:pPr>
        <w:pStyle w:val="97"/>
        <w:snapToGrid w:val="0"/>
        <w:spacing w:line="360" w:lineRule="auto"/>
        <w:ind w:firstLine="480"/>
        <w:rPr>
          <w:rFonts w:ascii="仿宋_GB2312"/>
          <w:sz w:val="24"/>
          <w:szCs w:val="24"/>
          <w:highlight w:val="none"/>
        </w:rPr>
      </w:pPr>
      <w:r>
        <w:rPr>
          <w:rFonts w:hint="eastAsia" w:ascii="仿宋_GB2312"/>
          <w:sz w:val="24"/>
          <w:szCs w:val="24"/>
          <w:highlight w:val="none"/>
        </w:rPr>
        <w:t>积极参加国家、省各有关部门及学院组织的各项专业技能竞赛，根据竞赛所取得的成绩作为学生评价标准，并计入学生自主学习学分。</w:t>
      </w:r>
    </w:p>
    <w:p w14:paraId="11759861">
      <w:pPr>
        <w:pStyle w:val="3"/>
        <w:ind w:firstLine="482"/>
        <w:rPr>
          <w:sz w:val="24"/>
          <w:szCs w:val="24"/>
          <w:highlight w:val="none"/>
        </w:rPr>
      </w:pPr>
      <w:bookmarkStart w:id="76" w:name="_Toc201407689"/>
      <w:r>
        <w:rPr>
          <w:rFonts w:hint="eastAsia"/>
          <w:sz w:val="24"/>
          <w:szCs w:val="24"/>
          <w:highlight w:val="none"/>
        </w:rPr>
        <w:t>（六）质量管理</w:t>
      </w:r>
      <w:bookmarkEnd w:id="76"/>
    </w:p>
    <w:p w14:paraId="67636AE5">
      <w:pPr>
        <w:pStyle w:val="97"/>
        <w:snapToGrid w:val="0"/>
        <w:spacing w:line="360" w:lineRule="auto"/>
        <w:ind w:firstLine="480"/>
        <w:rPr>
          <w:rFonts w:ascii="仿宋_GB2312"/>
          <w:sz w:val="24"/>
          <w:szCs w:val="24"/>
          <w:highlight w:val="none"/>
        </w:rPr>
      </w:pPr>
      <w:r>
        <w:rPr>
          <w:rFonts w:hint="eastAsia" w:ascii="仿宋_GB2312"/>
          <w:sz w:val="24"/>
          <w:szCs w:val="24"/>
          <w:highlight w:val="none"/>
        </w:rPr>
        <w:t>教学管理工作是在主管院长领导下，实行学校、二级学院两级负责，学院是教学管理的主体力量。</w:t>
      </w:r>
    </w:p>
    <w:p w14:paraId="6C08D317">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1</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质量保障机制</w:t>
      </w:r>
    </w:p>
    <w:p w14:paraId="29971BE2">
      <w:pPr>
        <w:snapToGrid w:val="0"/>
        <w:spacing w:line="360" w:lineRule="auto"/>
        <w:ind w:firstLine="480" w:firstLineChars="200"/>
        <w:rPr>
          <w:rFonts w:ascii="仿宋_GB2312"/>
          <w:sz w:val="24"/>
          <w:szCs w:val="24"/>
          <w:highlight w:val="none"/>
        </w:rPr>
      </w:pPr>
      <w:r>
        <w:rPr>
          <w:rFonts w:ascii="仿宋_GB2312"/>
          <w:sz w:val="24"/>
          <w:szCs w:val="24"/>
          <w:highlight w:val="none"/>
        </w:rPr>
        <w:t>学校和二级院系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w:t>
      </w:r>
    </w:p>
    <w:p w14:paraId="251570C4">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2</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教学管理机制</w:t>
      </w:r>
    </w:p>
    <w:p w14:paraId="4293C381">
      <w:pPr>
        <w:snapToGrid w:val="0"/>
        <w:spacing w:line="360" w:lineRule="auto"/>
        <w:ind w:firstLine="480" w:firstLineChars="200"/>
        <w:rPr>
          <w:rFonts w:ascii="仿宋_GB2312"/>
          <w:sz w:val="24"/>
          <w:szCs w:val="24"/>
          <w:highlight w:val="none"/>
        </w:rPr>
      </w:pPr>
      <w:r>
        <w:rPr>
          <w:rFonts w:ascii="仿宋_GB2312"/>
          <w:sz w:val="24"/>
          <w:szCs w:val="24"/>
          <w:highlight w:val="none"/>
        </w:rPr>
        <w:t>学校和二级院系应完善</w:t>
      </w:r>
      <w:bookmarkStart w:id="77" w:name="OLE_LINK11"/>
      <w:r>
        <w:rPr>
          <w:rFonts w:ascii="仿宋_GB2312"/>
          <w:sz w:val="24"/>
          <w:szCs w:val="24"/>
          <w:highlight w:val="none"/>
        </w:rPr>
        <w:t>教学管理机制</w:t>
      </w:r>
      <w:bookmarkEnd w:id="77"/>
      <w:r>
        <w:rPr>
          <w:rFonts w:ascii="仿宋_GB2312"/>
          <w:sz w:val="24"/>
          <w:szCs w:val="24"/>
          <w:highlight w:val="none"/>
        </w:rPr>
        <w:t>，加强日常教学组织运行与管理，定期开展课程建设、日常教学、人才培养质量的诊断与改进，建立健全巡课、听课</w:t>
      </w:r>
      <w:r>
        <w:rPr>
          <w:rFonts w:hint="eastAsia" w:ascii="仿宋_GB2312"/>
          <w:sz w:val="24"/>
          <w:szCs w:val="24"/>
          <w:highlight w:val="none"/>
        </w:rPr>
        <w:t>、评教、评学等制度，建立与企业联动的实践教学环节督导制度，严明教学纪律，强化教学组织功能，定期开展公开课、示范课等教研活动。</w:t>
      </w:r>
    </w:p>
    <w:p w14:paraId="39BFFD76">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3</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教研机制</w:t>
      </w:r>
    </w:p>
    <w:p w14:paraId="156B6A4B">
      <w:pPr>
        <w:snapToGrid w:val="0"/>
        <w:spacing w:line="360" w:lineRule="auto"/>
        <w:ind w:firstLine="480" w:firstLineChars="200"/>
        <w:rPr>
          <w:rFonts w:ascii="仿宋_GB2312"/>
          <w:sz w:val="24"/>
          <w:szCs w:val="24"/>
          <w:highlight w:val="none"/>
        </w:rPr>
      </w:pPr>
      <w:r>
        <w:rPr>
          <w:rFonts w:ascii="仿宋_GB2312"/>
          <w:sz w:val="24"/>
          <w:szCs w:val="24"/>
          <w:highlight w:val="none"/>
        </w:rPr>
        <w:t>专业教研组织应建立线上线下相结合的集中备课制度，定期召开教学研讨会议，利用评价分析结果有效改进专业教学，持续提高人才培养质量。</w:t>
      </w:r>
    </w:p>
    <w:p w14:paraId="54D96B3A">
      <w:pPr>
        <w:snapToGrid w:val="0"/>
        <w:spacing w:line="360" w:lineRule="auto"/>
        <w:ind w:firstLine="482" w:firstLineChars="200"/>
        <w:rPr>
          <w:rFonts w:ascii="仿宋_GB2312" w:hAnsi="仿宋_GB2312" w:cs="仿宋_GB2312"/>
          <w:b/>
          <w:sz w:val="24"/>
          <w:szCs w:val="24"/>
          <w:highlight w:val="none"/>
        </w:rPr>
      </w:pPr>
      <w:r>
        <w:rPr>
          <w:rFonts w:hint="eastAsia" w:ascii="仿宋_GB2312" w:hAnsi="仿宋_GB2312" w:cs="仿宋_GB2312"/>
          <w:b/>
          <w:sz w:val="24"/>
          <w:szCs w:val="24"/>
          <w:highlight w:val="none"/>
        </w:rPr>
        <w:t>4</w:t>
      </w:r>
      <w:r>
        <w:rPr>
          <w:rFonts w:ascii="仿宋_GB2312" w:hAnsi="仿宋_GB2312" w:cs="仿宋_GB2312"/>
          <w:b/>
          <w:sz w:val="24"/>
          <w:szCs w:val="24"/>
          <w:highlight w:val="none"/>
        </w:rPr>
        <w:t>.</w:t>
      </w:r>
      <w:r>
        <w:rPr>
          <w:rFonts w:hint="eastAsia" w:ascii="仿宋_GB2312" w:hAnsi="仿宋_GB2312" w:cs="仿宋_GB2312"/>
          <w:b/>
          <w:sz w:val="24"/>
          <w:szCs w:val="24"/>
          <w:highlight w:val="none"/>
        </w:rPr>
        <w:t>跟踪反馈及社会评价机制</w:t>
      </w:r>
    </w:p>
    <w:p w14:paraId="33F381D0">
      <w:pPr>
        <w:snapToGrid w:val="0"/>
        <w:spacing w:line="360" w:lineRule="auto"/>
        <w:ind w:firstLine="480" w:firstLineChars="200"/>
        <w:rPr>
          <w:rFonts w:ascii="仿宋_GB2312"/>
          <w:sz w:val="24"/>
          <w:szCs w:val="24"/>
          <w:highlight w:val="none"/>
        </w:rPr>
      </w:pPr>
      <w:r>
        <w:rPr>
          <w:rFonts w:ascii="仿宋_GB2312"/>
          <w:sz w:val="24"/>
          <w:szCs w:val="24"/>
          <w:highlight w:val="none"/>
        </w:rPr>
        <w:t>学校应建立毕业生跟踪反馈机制及社会评价机制，并对生源情况、职业道德、技术技能水平、就业质量等进行分析，定期评价人才培养质量和培养目标达成情况。</w:t>
      </w:r>
    </w:p>
    <w:p w14:paraId="1FC7D810">
      <w:pPr>
        <w:pStyle w:val="2"/>
        <w:spacing w:before="62" w:after="62"/>
        <w:ind w:firstLine="480"/>
        <w:rPr>
          <w:sz w:val="24"/>
          <w:szCs w:val="24"/>
          <w:highlight w:val="none"/>
        </w:rPr>
      </w:pPr>
      <w:bookmarkStart w:id="78" w:name="_Toc201407690"/>
      <w:r>
        <w:rPr>
          <w:rFonts w:hint="eastAsia"/>
          <w:sz w:val="24"/>
          <w:szCs w:val="24"/>
          <w:highlight w:val="none"/>
        </w:rPr>
        <w:t>九、毕业要求</w:t>
      </w:r>
      <w:bookmarkEnd w:id="71"/>
      <w:bookmarkEnd w:id="72"/>
      <w:bookmarkEnd w:id="78"/>
    </w:p>
    <w:p w14:paraId="50B8ACF0">
      <w:pPr>
        <w:snapToGrid w:val="0"/>
        <w:spacing w:line="360" w:lineRule="auto"/>
        <w:ind w:firstLine="480" w:firstLineChars="200"/>
        <w:rPr>
          <w:sz w:val="24"/>
          <w:szCs w:val="24"/>
          <w:highlight w:val="none"/>
        </w:rPr>
      </w:pPr>
      <w:r>
        <w:rPr>
          <w:rFonts w:hint="eastAsia"/>
          <w:sz w:val="24"/>
          <w:szCs w:val="24"/>
          <w:highlight w:val="none"/>
        </w:rPr>
        <w:t>根据专业人才培养方案确定的目标和培养规格，完成规定的实习实训，全部课程考核合格或修满学分，准予毕业。</w:t>
      </w:r>
    </w:p>
    <w:p w14:paraId="57CF45D5">
      <w:pPr>
        <w:pStyle w:val="3"/>
        <w:ind w:firstLine="482"/>
        <w:rPr>
          <w:sz w:val="24"/>
          <w:szCs w:val="24"/>
          <w:highlight w:val="none"/>
        </w:rPr>
      </w:pPr>
      <w:bookmarkStart w:id="79" w:name="_Toc168736754"/>
      <w:bookmarkStart w:id="80" w:name="_Toc201407691"/>
      <w:bookmarkStart w:id="81" w:name="_Toc28293"/>
      <w:r>
        <w:rPr>
          <w:rFonts w:hint="eastAsia"/>
          <w:sz w:val="24"/>
          <w:szCs w:val="24"/>
          <w:highlight w:val="none"/>
        </w:rPr>
        <w:t>（一）学时要求</w:t>
      </w:r>
      <w:bookmarkEnd w:id="79"/>
      <w:bookmarkEnd w:id="80"/>
      <w:bookmarkEnd w:id="81"/>
    </w:p>
    <w:p w14:paraId="45B6E3A1">
      <w:pPr>
        <w:snapToGrid w:val="0"/>
        <w:spacing w:line="360" w:lineRule="auto"/>
        <w:ind w:firstLine="480" w:firstLineChars="200"/>
        <w:rPr>
          <w:sz w:val="24"/>
          <w:szCs w:val="24"/>
          <w:highlight w:val="none"/>
        </w:rPr>
      </w:pPr>
      <w:r>
        <w:rPr>
          <w:rFonts w:hint="eastAsia"/>
          <w:sz w:val="24"/>
          <w:szCs w:val="24"/>
          <w:highlight w:val="none"/>
        </w:rPr>
        <w:t>需完成学时</w:t>
      </w:r>
      <w:r>
        <w:rPr>
          <w:rFonts w:hint="eastAsia"/>
          <w:sz w:val="24"/>
          <w:szCs w:val="24"/>
          <w:highlight w:val="none"/>
          <w:lang w:val="en-US" w:eastAsia="zh-CN"/>
        </w:rPr>
        <w:t>2694</w:t>
      </w:r>
      <w:r>
        <w:rPr>
          <w:rFonts w:hint="eastAsia"/>
          <w:sz w:val="24"/>
          <w:szCs w:val="24"/>
          <w:highlight w:val="none"/>
        </w:rPr>
        <w:t>学时。</w:t>
      </w:r>
    </w:p>
    <w:p w14:paraId="14477CDF">
      <w:pPr>
        <w:pStyle w:val="3"/>
        <w:ind w:firstLine="482"/>
        <w:rPr>
          <w:sz w:val="24"/>
          <w:szCs w:val="24"/>
          <w:highlight w:val="none"/>
        </w:rPr>
      </w:pPr>
      <w:bookmarkStart w:id="82" w:name="_Toc168736755"/>
      <w:bookmarkStart w:id="83" w:name="_Toc23593"/>
      <w:bookmarkStart w:id="84" w:name="_Toc201407692"/>
      <w:r>
        <w:rPr>
          <w:rFonts w:hint="eastAsia"/>
          <w:sz w:val="24"/>
          <w:szCs w:val="24"/>
          <w:highlight w:val="none"/>
        </w:rPr>
        <w:t>（二）学分要求</w:t>
      </w:r>
      <w:bookmarkEnd w:id="82"/>
      <w:bookmarkEnd w:id="83"/>
      <w:bookmarkEnd w:id="84"/>
    </w:p>
    <w:p w14:paraId="158E2146">
      <w:pPr>
        <w:overflowPunct w:val="0"/>
        <w:adjustRightInd w:val="0"/>
        <w:snapToGrid w:val="0"/>
        <w:spacing w:line="360" w:lineRule="auto"/>
        <w:ind w:firstLine="480" w:firstLineChars="200"/>
        <w:rPr>
          <w:rFonts w:ascii="仿宋_GB2312"/>
          <w:sz w:val="24"/>
          <w:szCs w:val="24"/>
          <w:highlight w:val="none"/>
        </w:rPr>
      </w:pPr>
      <w:r>
        <w:rPr>
          <w:rFonts w:hint="eastAsia" w:ascii="仿宋_GB2312"/>
          <w:sz w:val="24"/>
          <w:szCs w:val="24"/>
          <w:highlight w:val="none"/>
        </w:rPr>
        <w:t>总学分达到14</w:t>
      </w:r>
      <w:r>
        <w:rPr>
          <w:rFonts w:hint="eastAsia" w:ascii="仿宋_GB2312"/>
          <w:sz w:val="24"/>
          <w:szCs w:val="24"/>
          <w:highlight w:val="none"/>
          <w:lang w:val="en-US" w:eastAsia="zh-CN"/>
        </w:rPr>
        <w:t>4</w:t>
      </w:r>
      <w:r>
        <w:rPr>
          <w:rFonts w:hint="eastAsia" w:ascii="仿宋_GB2312"/>
          <w:sz w:val="24"/>
          <w:szCs w:val="24"/>
          <w:highlight w:val="none"/>
        </w:rPr>
        <w:t>分。</w:t>
      </w:r>
    </w:p>
    <w:p w14:paraId="089F3EFE">
      <w:pPr>
        <w:pStyle w:val="5"/>
        <w:snapToGrid w:val="0"/>
        <w:spacing w:before="0" w:line="360" w:lineRule="auto"/>
        <w:ind w:firstLine="480" w:firstLineChars="200"/>
        <w:rPr>
          <w:rFonts w:hint="eastAsia" w:ascii="仿宋_GB2312" w:hAnsi="Times New Roman"/>
          <w:szCs w:val="24"/>
          <w:highlight w:val="none"/>
        </w:rPr>
      </w:pPr>
      <w:r>
        <w:rPr>
          <w:rFonts w:hint="eastAsia" w:ascii="仿宋_GB2312" w:hAnsi="Times New Roman"/>
          <w:szCs w:val="24"/>
          <w:highlight w:val="none"/>
        </w:rPr>
        <w:t>接受职业培训取得的职业技能等级证书、培训证书等学习成果，经学校认定，可以转化为相应的学历教育学分；</w:t>
      </w:r>
    </w:p>
    <w:p w14:paraId="7C5B4947">
      <w:pPr>
        <w:overflowPunct w:val="0"/>
        <w:adjustRightInd w:val="0"/>
        <w:snapToGrid w:val="0"/>
        <w:spacing w:line="360" w:lineRule="auto"/>
        <w:ind w:firstLine="480" w:firstLineChars="200"/>
        <w:rPr>
          <w:rFonts w:hint="eastAsia" w:ascii="仿宋_GB2312"/>
          <w:sz w:val="24"/>
          <w:szCs w:val="24"/>
          <w:highlight w:val="none"/>
          <w:lang w:val="en-US" w:eastAsia="zh-CN"/>
        </w:rPr>
      </w:pPr>
      <w:r>
        <w:rPr>
          <w:rFonts w:hint="eastAsia" w:ascii="仿宋_GB2312"/>
          <w:sz w:val="24"/>
          <w:szCs w:val="24"/>
          <w:highlight w:val="none"/>
          <w:lang w:val="en-US" w:eastAsia="zh-CN"/>
        </w:rPr>
        <w:t>1.根据学校《大学生素质拓展学分管理办法(试行)》规定，可予以相应认定。</w:t>
      </w:r>
    </w:p>
    <w:p w14:paraId="73428EFF">
      <w:pPr>
        <w:overflowPunct w:val="0"/>
        <w:adjustRightInd w:val="0"/>
        <w:snapToGrid w:val="0"/>
        <w:spacing w:line="360" w:lineRule="auto"/>
        <w:ind w:firstLine="480" w:firstLineChars="200"/>
        <w:rPr>
          <w:rFonts w:hint="eastAsia" w:ascii="仿宋_GB2312"/>
          <w:sz w:val="24"/>
          <w:szCs w:val="24"/>
          <w:highlight w:val="none"/>
          <w:lang w:val="en-US" w:eastAsia="zh-CN"/>
        </w:rPr>
      </w:pPr>
      <w:r>
        <w:rPr>
          <w:rFonts w:hint="eastAsia" w:ascii="仿宋_GB2312"/>
          <w:sz w:val="24"/>
          <w:szCs w:val="24"/>
          <w:highlight w:val="none"/>
          <w:lang w:val="en-US" w:eastAsia="zh-CN"/>
        </w:rPr>
        <w:t>2.参加安徽省职业院校汽车相关竞赛并获得三等奖以上的成绩，可以替换课程的学分。</w:t>
      </w:r>
    </w:p>
    <w:p w14:paraId="430B3A0E">
      <w:pPr>
        <w:overflowPunct w:val="0"/>
        <w:adjustRightInd w:val="0"/>
        <w:snapToGrid w:val="0"/>
        <w:spacing w:line="360" w:lineRule="auto"/>
        <w:ind w:firstLine="480" w:firstLineChars="200"/>
        <w:rPr>
          <w:rFonts w:hint="eastAsia" w:ascii="仿宋_GB2312"/>
          <w:sz w:val="24"/>
          <w:szCs w:val="24"/>
          <w:highlight w:val="none"/>
          <w:lang w:val="en-US" w:eastAsia="zh-CN"/>
        </w:rPr>
      </w:pPr>
      <w:r>
        <w:rPr>
          <w:rFonts w:hint="eastAsia" w:ascii="仿宋_GB2312"/>
          <w:sz w:val="24"/>
          <w:szCs w:val="24"/>
          <w:highlight w:val="none"/>
          <w:lang w:val="en-US" w:eastAsia="zh-CN"/>
        </w:rPr>
        <w:t>3.职业教育国家“学分银行”试点中，个人学习账号登记和存储的学习成果。</w:t>
      </w:r>
    </w:p>
    <w:p w14:paraId="7EC742B3">
      <w:pPr>
        <w:overflowPunct w:val="0"/>
        <w:adjustRightInd w:val="0"/>
        <w:snapToGrid w:val="0"/>
        <w:spacing w:line="360" w:lineRule="auto"/>
        <w:ind w:firstLine="480" w:firstLineChars="200"/>
        <w:rPr>
          <w:rFonts w:hint="eastAsia" w:ascii="仿宋_GB2312" w:hAnsi="Times New Roman" w:eastAsia="仿宋_GB2312" w:cs="Times New Roman"/>
          <w:kern w:val="2"/>
          <w:sz w:val="24"/>
          <w:szCs w:val="24"/>
          <w:highlight w:val="none"/>
          <w:lang w:val="en-US" w:eastAsia="zh-CN" w:bidi="ar-SA"/>
        </w:rPr>
      </w:pPr>
      <w:r>
        <w:rPr>
          <w:rFonts w:hint="eastAsia" w:ascii="仿宋_GB2312"/>
          <w:sz w:val="24"/>
          <w:szCs w:val="24"/>
          <w:highlight w:val="none"/>
          <w:lang w:val="en-US" w:eastAsia="zh-CN"/>
        </w:rPr>
        <w:t>4.其他经专业教学指导委员会认定可转换学分的相关条件。</w:t>
      </w:r>
    </w:p>
    <w:p w14:paraId="69470D3C">
      <w:pPr>
        <w:pStyle w:val="3"/>
        <w:ind w:firstLine="482"/>
        <w:rPr>
          <w:sz w:val="24"/>
          <w:szCs w:val="24"/>
          <w:highlight w:val="none"/>
        </w:rPr>
      </w:pPr>
      <w:bookmarkStart w:id="85" w:name="_Toc168736756"/>
      <w:bookmarkStart w:id="86" w:name="_Toc201407693"/>
      <w:bookmarkStart w:id="87" w:name="_Toc2708"/>
      <w:r>
        <w:rPr>
          <w:rFonts w:hint="eastAsia"/>
          <w:sz w:val="24"/>
          <w:szCs w:val="24"/>
          <w:highlight w:val="none"/>
        </w:rPr>
        <w:t>（三）证书要求</w:t>
      </w:r>
      <w:bookmarkEnd w:id="85"/>
      <w:bookmarkEnd w:id="86"/>
      <w:bookmarkEnd w:id="87"/>
    </w:p>
    <w:p w14:paraId="65D39B59">
      <w:pPr>
        <w:adjustRightInd w:val="0"/>
        <w:snapToGrid w:val="0"/>
        <w:spacing w:before="156" w:beforeLines="50" w:after="156" w:afterLines="50" w:line="360" w:lineRule="auto"/>
        <w:jc w:val="center"/>
        <w:rPr>
          <w:rFonts w:ascii="仿宋_GB2312" w:hAnsi="仿宋_GB2312" w:cs="仿宋_GB2312"/>
          <w:b/>
          <w:sz w:val="24"/>
          <w:szCs w:val="24"/>
          <w:highlight w:val="none"/>
        </w:rPr>
      </w:pPr>
      <w:r>
        <w:rPr>
          <w:rFonts w:hint="eastAsia" w:ascii="仿宋_GB2312" w:hAnsi="仿宋_GB2312" w:cs="仿宋_GB2312"/>
          <w:b/>
          <w:sz w:val="24"/>
          <w:szCs w:val="24"/>
          <w:highlight w:val="none"/>
        </w:rPr>
        <w:t xml:space="preserve">表九   </w:t>
      </w:r>
      <w:r>
        <w:rPr>
          <w:rFonts w:hint="eastAsia" w:ascii="仿宋_GB2312" w:hAnsi="仿宋_GB2312" w:cs="仿宋_GB2312"/>
          <w:b/>
          <w:sz w:val="24"/>
          <w:szCs w:val="24"/>
          <w:highlight w:val="none"/>
          <w:lang w:val="en-US" w:eastAsia="zh-CN"/>
        </w:rPr>
        <w:t>新能源汽车检测与维修技术专</w:t>
      </w:r>
      <w:r>
        <w:rPr>
          <w:rFonts w:hint="eastAsia" w:ascii="仿宋_GB2312" w:hAnsi="仿宋_GB2312" w:cs="仿宋_GB2312"/>
          <w:b/>
          <w:sz w:val="24"/>
          <w:szCs w:val="24"/>
          <w:highlight w:val="none"/>
        </w:rPr>
        <w:t>业各资格证书一览表</w:t>
      </w:r>
    </w:p>
    <w:tbl>
      <w:tblPr>
        <w:tblStyle w:val="15"/>
        <w:tblW w:w="52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1901"/>
        <w:gridCol w:w="1524"/>
        <w:gridCol w:w="1862"/>
        <w:gridCol w:w="1470"/>
        <w:gridCol w:w="765"/>
        <w:gridCol w:w="795"/>
      </w:tblGrid>
      <w:tr w14:paraId="4CB31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7" w:type="pct"/>
            <w:vMerge w:val="restart"/>
            <w:vAlign w:val="center"/>
          </w:tcPr>
          <w:p w14:paraId="01FB9C66">
            <w:pPr>
              <w:spacing w:line="360" w:lineRule="exact"/>
              <w:jc w:val="center"/>
              <w:rPr>
                <w:rFonts w:ascii="仿宋_GB2312" w:hAnsi="仿宋_GB2312" w:cs="仿宋_GB2312"/>
                <w:b/>
                <w:sz w:val="21"/>
                <w:szCs w:val="21"/>
                <w:highlight w:val="none"/>
              </w:rPr>
            </w:pPr>
            <w:r>
              <w:rPr>
                <w:rFonts w:hint="eastAsia" w:ascii="仿宋_GB2312" w:hAnsi="仿宋_GB2312" w:cs="仿宋_GB2312"/>
                <w:b/>
                <w:kern w:val="0"/>
                <w:sz w:val="21"/>
                <w:szCs w:val="21"/>
                <w:highlight w:val="none"/>
              </w:rPr>
              <w:t>序号</w:t>
            </w:r>
          </w:p>
        </w:tc>
        <w:tc>
          <w:tcPr>
            <w:tcW w:w="1054" w:type="pct"/>
            <w:vMerge w:val="restart"/>
            <w:vAlign w:val="center"/>
          </w:tcPr>
          <w:p w14:paraId="2CAB9A38">
            <w:pPr>
              <w:spacing w:line="360" w:lineRule="exact"/>
              <w:jc w:val="center"/>
              <w:rPr>
                <w:rFonts w:ascii="仿宋_GB2312" w:hAnsi="仿宋_GB2312" w:cs="仿宋_GB2312"/>
                <w:b/>
                <w:sz w:val="21"/>
                <w:szCs w:val="21"/>
                <w:highlight w:val="none"/>
              </w:rPr>
            </w:pPr>
            <w:r>
              <w:rPr>
                <w:rFonts w:hint="eastAsia" w:ascii="仿宋_GB2312" w:hAnsi="仿宋_GB2312" w:cs="仿宋_GB2312"/>
                <w:b/>
                <w:kern w:val="0"/>
                <w:sz w:val="21"/>
                <w:szCs w:val="21"/>
                <w:highlight w:val="none"/>
              </w:rPr>
              <w:t>考核项目</w:t>
            </w:r>
          </w:p>
        </w:tc>
        <w:tc>
          <w:tcPr>
            <w:tcW w:w="845" w:type="pct"/>
            <w:vMerge w:val="restart"/>
            <w:vAlign w:val="center"/>
          </w:tcPr>
          <w:p w14:paraId="4E4833C8">
            <w:pPr>
              <w:spacing w:line="360" w:lineRule="exact"/>
              <w:jc w:val="center"/>
              <w:rPr>
                <w:rFonts w:ascii="仿宋_GB2312" w:hAnsi="仿宋_GB2312" w:cs="仿宋_GB2312"/>
                <w:b/>
                <w:sz w:val="21"/>
                <w:szCs w:val="21"/>
                <w:highlight w:val="none"/>
              </w:rPr>
            </w:pPr>
            <w:r>
              <w:rPr>
                <w:rFonts w:hint="eastAsia" w:ascii="仿宋_GB2312" w:hAnsi="仿宋_GB2312" w:cs="仿宋_GB2312"/>
                <w:b/>
                <w:kern w:val="0"/>
                <w:sz w:val="21"/>
                <w:szCs w:val="21"/>
                <w:highlight w:val="none"/>
              </w:rPr>
              <w:t>等级要求</w:t>
            </w:r>
          </w:p>
        </w:tc>
        <w:tc>
          <w:tcPr>
            <w:tcW w:w="1032" w:type="pct"/>
            <w:vMerge w:val="restart"/>
            <w:vAlign w:val="center"/>
          </w:tcPr>
          <w:p w14:paraId="42F75D8B">
            <w:pPr>
              <w:spacing w:line="360" w:lineRule="exact"/>
              <w:jc w:val="center"/>
              <w:rPr>
                <w:rFonts w:ascii="仿宋_GB2312" w:hAnsi="仿宋_GB2312" w:cs="仿宋_GB2312"/>
                <w:b/>
                <w:sz w:val="21"/>
                <w:szCs w:val="21"/>
                <w:highlight w:val="none"/>
              </w:rPr>
            </w:pPr>
            <w:r>
              <w:rPr>
                <w:rFonts w:hint="eastAsia" w:ascii="仿宋_GB2312" w:hAnsi="仿宋_GB2312" w:cs="仿宋_GB2312"/>
                <w:b/>
                <w:kern w:val="0"/>
                <w:sz w:val="21"/>
                <w:szCs w:val="21"/>
                <w:highlight w:val="none"/>
              </w:rPr>
              <w:t>考核发证部门</w:t>
            </w:r>
          </w:p>
        </w:tc>
        <w:tc>
          <w:tcPr>
            <w:tcW w:w="815" w:type="pct"/>
            <w:vMerge w:val="restart"/>
            <w:vAlign w:val="center"/>
          </w:tcPr>
          <w:p w14:paraId="26CC67D4">
            <w:pPr>
              <w:spacing w:line="360" w:lineRule="exact"/>
              <w:jc w:val="center"/>
              <w:rPr>
                <w:rFonts w:ascii="仿宋_GB2312" w:hAnsi="仿宋_GB2312" w:cs="仿宋_GB2312"/>
                <w:b/>
                <w:sz w:val="21"/>
                <w:szCs w:val="21"/>
                <w:highlight w:val="none"/>
              </w:rPr>
            </w:pPr>
            <w:r>
              <w:rPr>
                <w:rFonts w:hint="eastAsia" w:ascii="仿宋_GB2312" w:hAnsi="仿宋_GB2312" w:cs="仿宋_GB2312"/>
                <w:b/>
                <w:kern w:val="0"/>
                <w:sz w:val="21"/>
                <w:szCs w:val="21"/>
                <w:highlight w:val="none"/>
              </w:rPr>
              <w:t>考核学期</w:t>
            </w:r>
          </w:p>
        </w:tc>
        <w:tc>
          <w:tcPr>
            <w:tcW w:w="864" w:type="pct"/>
            <w:gridSpan w:val="2"/>
            <w:vAlign w:val="center"/>
          </w:tcPr>
          <w:p w14:paraId="0AB7EAB0">
            <w:pPr>
              <w:spacing w:line="360" w:lineRule="exact"/>
              <w:jc w:val="center"/>
              <w:rPr>
                <w:rFonts w:ascii="仿宋_GB2312" w:hAnsi="仿宋_GB2312" w:cs="仿宋_GB2312"/>
                <w:b/>
                <w:sz w:val="21"/>
                <w:szCs w:val="21"/>
                <w:highlight w:val="none"/>
              </w:rPr>
            </w:pPr>
            <w:r>
              <w:rPr>
                <w:rFonts w:hint="eastAsia" w:ascii="仿宋_GB2312" w:hAnsi="仿宋_GB2312" w:cs="仿宋_GB2312"/>
                <w:b/>
                <w:kern w:val="0"/>
                <w:sz w:val="21"/>
                <w:szCs w:val="21"/>
                <w:highlight w:val="none"/>
              </w:rPr>
              <w:t>类型</w:t>
            </w:r>
          </w:p>
        </w:tc>
      </w:tr>
      <w:tr w14:paraId="7E51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7" w:type="pct"/>
            <w:vMerge w:val="continue"/>
            <w:vAlign w:val="center"/>
          </w:tcPr>
          <w:p w14:paraId="0E93E64F">
            <w:pPr>
              <w:spacing w:line="360" w:lineRule="exact"/>
              <w:jc w:val="center"/>
              <w:rPr>
                <w:rFonts w:ascii="仿宋_GB2312" w:hAnsi="仿宋_GB2312" w:cs="仿宋_GB2312"/>
                <w:b/>
                <w:sz w:val="21"/>
                <w:szCs w:val="21"/>
                <w:highlight w:val="none"/>
              </w:rPr>
            </w:pPr>
          </w:p>
        </w:tc>
        <w:tc>
          <w:tcPr>
            <w:tcW w:w="1054" w:type="pct"/>
            <w:vMerge w:val="continue"/>
            <w:vAlign w:val="center"/>
          </w:tcPr>
          <w:p w14:paraId="5AF73086">
            <w:pPr>
              <w:spacing w:line="360" w:lineRule="exact"/>
              <w:jc w:val="center"/>
              <w:rPr>
                <w:rFonts w:ascii="仿宋_GB2312" w:hAnsi="仿宋_GB2312" w:cs="仿宋_GB2312"/>
                <w:b/>
                <w:sz w:val="21"/>
                <w:szCs w:val="21"/>
                <w:highlight w:val="none"/>
              </w:rPr>
            </w:pPr>
          </w:p>
        </w:tc>
        <w:tc>
          <w:tcPr>
            <w:tcW w:w="845" w:type="pct"/>
            <w:vMerge w:val="continue"/>
            <w:vAlign w:val="center"/>
          </w:tcPr>
          <w:p w14:paraId="580D7DFD">
            <w:pPr>
              <w:spacing w:line="360" w:lineRule="exact"/>
              <w:jc w:val="center"/>
              <w:rPr>
                <w:rFonts w:ascii="仿宋_GB2312" w:hAnsi="仿宋_GB2312" w:cs="仿宋_GB2312"/>
                <w:b/>
                <w:sz w:val="21"/>
                <w:szCs w:val="21"/>
                <w:highlight w:val="none"/>
              </w:rPr>
            </w:pPr>
          </w:p>
        </w:tc>
        <w:tc>
          <w:tcPr>
            <w:tcW w:w="1032" w:type="pct"/>
            <w:vMerge w:val="continue"/>
            <w:vAlign w:val="center"/>
          </w:tcPr>
          <w:p w14:paraId="18A72FAD">
            <w:pPr>
              <w:spacing w:line="360" w:lineRule="exact"/>
              <w:jc w:val="center"/>
              <w:rPr>
                <w:rFonts w:ascii="仿宋_GB2312" w:hAnsi="仿宋_GB2312" w:cs="仿宋_GB2312"/>
                <w:b/>
                <w:sz w:val="21"/>
                <w:szCs w:val="21"/>
                <w:highlight w:val="none"/>
              </w:rPr>
            </w:pPr>
          </w:p>
        </w:tc>
        <w:tc>
          <w:tcPr>
            <w:tcW w:w="815" w:type="pct"/>
            <w:vMerge w:val="continue"/>
            <w:vAlign w:val="center"/>
          </w:tcPr>
          <w:p w14:paraId="60DCAE60">
            <w:pPr>
              <w:spacing w:line="360" w:lineRule="exact"/>
              <w:jc w:val="center"/>
              <w:rPr>
                <w:rFonts w:ascii="仿宋_GB2312" w:hAnsi="仿宋_GB2312" w:cs="仿宋_GB2312"/>
                <w:b/>
                <w:sz w:val="21"/>
                <w:szCs w:val="21"/>
                <w:highlight w:val="none"/>
              </w:rPr>
            </w:pPr>
          </w:p>
        </w:tc>
        <w:tc>
          <w:tcPr>
            <w:tcW w:w="424" w:type="pct"/>
            <w:vAlign w:val="center"/>
          </w:tcPr>
          <w:p w14:paraId="0D1A915D">
            <w:pPr>
              <w:spacing w:line="360" w:lineRule="exact"/>
              <w:jc w:val="center"/>
              <w:rPr>
                <w:rFonts w:ascii="仿宋_GB2312" w:hAnsi="仿宋_GB2312" w:cs="仿宋_GB2312"/>
                <w:b/>
                <w:sz w:val="21"/>
                <w:szCs w:val="21"/>
                <w:highlight w:val="none"/>
              </w:rPr>
            </w:pPr>
            <w:r>
              <w:rPr>
                <w:rFonts w:hint="eastAsia" w:ascii="仿宋_GB2312" w:hAnsi="仿宋_GB2312" w:cs="仿宋_GB2312"/>
                <w:b/>
                <w:kern w:val="0"/>
                <w:sz w:val="21"/>
                <w:szCs w:val="21"/>
                <w:highlight w:val="none"/>
              </w:rPr>
              <w:t>必考</w:t>
            </w:r>
          </w:p>
        </w:tc>
        <w:tc>
          <w:tcPr>
            <w:tcW w:w="440" w:type="pct"/>
            <w:vAlign w:val="center"/>
          </w:tcPr>
          <w:p w14:paraId="4F475342">
            <w:pPr>
              <w:spacing w:line="360" w:lineRule="exact"/>
              <w:jc w:val="center"/>
              <w:rPr>
                <w:rFonts w:ascii="仿宋_GB2312" w:hAnsi="仿宋_GB2312" w:cs="仿宋_GB2312"/>
                <w:b/>
                <w:sz w:val="21"/>
                <w:szCs w:val="21"/>
                <w:highlight w:val="none"/>
              </w:rPr>
            </w:pPr>
            <w:r>
              <w:rPr>
                <w:rFonts w:hint="eastAsia" w:ascii="仿宋_GB2312" w:hAnsi="仿宋_GB2312" w:cs="仿宋_GB2312"/>
                <w:b/>
                <w:kern w:val="0"/>
                <w:sz w:val="21"/>
                <w:szCs w:val="21"/>
                <w:highlight w:val="none"/>
              </w:rPr>
              <w:t>鼓励</w:t>
            </w:r>
          </w:p>
        </w:tc>
      </w:tr>
      <w:tr w14:paraId="3DB2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7" w:type="pct"/>
            <w:vAlign w:val="center"/>
          </w:tcPr>
          <w:p w14:paraId="2711941C">
            <w:pPr>
              <w:spacing w:line="360" w:lineRule="exact"/>
              <w:jc w:val="center"/>
              <w:rPr>
                <w:rFonts w:ascii="仿宋_GB2312" w:hAnsi="仿宋_GB2312" w:cs="仿宋_GB2312"/>
                <w:kern w:val="0"/>
                <w:sz w:val="21"/>
                <w:szCs w:val="21"/>
                <w:highlight w:val="none"/>
              </w:rPr>
            </w:pPr>
            <w:r>
              <w:rPr>
                <w:rFonts w:hint="eastAsia" w:ascii="仿宋_GB2312" w:hAnsi="仿宋_GB2312" w:cs="仿宋_GB2312"/>
                <w:kern w:val="0"/>
                <w:sz w:val="21"/>
                <w:szCs w:val="21"/>
                <w:highlight w:val="none"/>
              </w:rPr>
              <w:t>1</w:t>
            </w:r>
          </w:p>
        </w:tc>
        <w:tc>
          <w:tcPr>
            <w:tcW w:w="1054" w:type="pct"/>
            <w:shd w:val="clear" w:color="auto" w:fill="auto"/>
            <w:vAlign w:val="center"/>
          </w:tcPr>
          <w:p w14:paraId="686BAD18">
            <w:pPr>
              <w:spacing w:line="360" w:lineRule="exact"/>
              <w:jc w:val="center"/>
              <w:rPr>
                <w:rFonts w:ascii="仿宋_GB2312" w:hAnsi="仿宋_GB2312" w:eastAsia="仿宋_GB2312" w:cs="仿宋_GB2312"/>
                <w:kern w:val="0"/>
                <w:sz w:val="24"/>
                <w:szCs w:val="24"/>
                <w:highlight w:val="none"/>
                <w:lang w:val="en-US" w:eastAsia="zh-CN" w:bidi="ar-SA"/>
              </w:rPr>
            </w:pPr>
            <w:r>
              <w:rPr>
                <w:rFonts w:hint="eastAsia" w:ascii="仿宋_GB2312" w:hAnsi="仿宋_GB2312" w:cs="仿宋_GB2312"/>
                <w:kern w:val="0"/>
                <w:sz w:val="24"/>
                <w:szCs w:val="24"/>
                <w:highlight w:val="none"/>
              </w:rPr>
              <w:t>英语B级</w:t>
            </w:r>
          </w:p>
        </w:tc>
        <w:tc>
          <w:tcPr>
            <w:tcW w:w="845" w:type="pct"/>
            <w:shd w:val="clear" w:color="auto" w:fill="auto"/>
            <w:vAlign w:val="center"/>
          </w:tcPr>
          <w:p w14:paraId="05DC5108">
            <w:pPr>
              <w:spacing w:line="360" w:lineRule="exact"/>
              <w:jc w:val="center"/>
              <w:rPr>
                <w:rFonts w:ascii="仿宋_GB2312" w:hAnsi="仿宋_GB2312" w:eastAsia="仿宋_GB2312" w:cs="仿宋_GB2312"/>
                <w:kern w:val="0"/>
                <w:sz w:val="24"/>
                <w:szCs w:val="24"/>
                <w:highlight w:val="none"/>
                <w:lang w:val="en-US" w:eastAsia="zh-CN" w:bidi="ar-SA"/>
              </w:rPr>
            </w:pPr>
            <w:r>
              <w:rPr>
                <w:rFonts w:hint="eastAsia" w:ascii="仿宋_GB2312" w:hAnsi="仿宋_GB2312" w:cs="仿宋_GB2312"/>
                <w:kern w:val="0"/>
                <w:sz w:val="24"/>
                <w:szCs w:val="24"/>
                <w:highlight w:val="none"/>
              </w:rPr>
              <w:t>B级</w:t>
            </w:r>
          </w:p>
        </w:tc>
        <w:tc>
          <w:tcPr>
            <w:tcW w:w="1032" w:type="pct"/>
            <w:shd w:val="clear" w:color="auto" w:fill="auto"/>
            <w:vAlign w:val="center"/>
          </w:tcPr>
          <w:p w14:paraId="701D552D">
            <w:pPr>
              <w:spacing w:line="360" w:lineRule="exact"/>
              <w:jc w:val="center"/>
              <w:rPr>
                <w:rFonts w:ascii="仿宋_GB2312" w:hAnsi="仿宋_GB2312" w:eastAsia="仿宋_GB2312" w:cs="仿宋_GB2312"/>
                <w:kern w:val="0"/>
                <w:sz w:val="24"/>
                <w:szCs w:val="24"/>
                <w:highlight w:val="none"/>
                <w:lang w:val="en-US" w:eastAsia="zh-CN" w:bidi="ar-SA"/>
              </w:rPr>
            </w:pPr>
            <w:r>
              <w:rPr>
                <w:rFonts w:hint="eastAsia" w:ascii="仿宋_GB2312" w:hAnsi="仿宋_GB2312" w:cs="仿宋_GB2312"/>
                <w:kern w:val="0"/>
                <w:sz w:val="24"/>
                <w:szCs w:val="24"/>
                <w:highlight w:val="none"/>
              </w:rPr>
              <w:t>高等学校英语应用能力考试委员会</w:t>
            </w:r>
          </w:p>
        </w:tc>
        <w:tc>
          <w:tcPr>
            <w:tcW w:w="815" w:type="pct"/>
            <w:shd w:val="clear" w:color="auto" w:fill="auto"/>
            <w:vAlign w:val="center"/>
          </w:tcPr>
          <w:p w14:paraId="3059A52C">
            <w:pPr>
              <w:spacing w:line="360" w:lineRule="exact"/>
              <w:jc w:val="center"/>
              <w:rPr>
                <w:rFonts w:ascii="仿宋_GB2312" w:hAnsi="仿宋_GB2312" w:eastAsia="仿宋_GB2312" w:cs="仿宋_GB2312"/>
                <w:kern w:val="0"/>
                <w:sz w:val="24"/>
                <w:szCs w:val="24"/>
                <w:highlight w:val="none"/>
                <w:lang w:val="en-US" w:eastAsia="zh-CN" w:bidi="ar-SA"/>
              </w:rPr>
            </w:pPr>
            <w:r>
              <w:rPr>
                <w:rFonts w:hint="eastAsia" w:ascii="仿宋_GB2312" w:hAnsi="仿宋_GB2312" w:cs="仿宋_GB2312"/>
                <w:kern w:val="0"/>
                <w:sz w:val="24"/>
                <w:szCs w:val="24"/>
                <w:highlight w:val="none"/>
              </w:rPr>
              <w:t>1</w:t>
            </w:r>
          </w:p>
        </w:tc>
        <w:tc>
          <w:tcPr>
            <w:tcW w:w="424" w:type="pct"/>
            <w:shd w:val="clear" w:color="auto" w:fill="auto"/>
            <w:vAlign w:val="center"/>
          </w:tcPr>
          <w:p w14:paraId="7A224C57">
            <w:pPr>
              <w:spacing w:line="360" w:lineRule="exact"/>
              <w:jc w:val="center"/>
              <w:rPr>
                <w:rFonts w:ascii="仿宋_GB2312" w:hAnsi="仿宋_GB2312" w:eastAsia="仿宋_GB2312" w:cs="仿宋_GB2312"/>
                <w:kern w:val="0"/>
                <w:sz w:val="24"/>
                <w:szCs w:val="24"/>
                <w:highlight w:val="none"/>
                <w:lang w:val="en-US" w:eastAsia="zh-CN" w:bidi="ar-SA"/>
              </w:rPr>
            </w:pPr>
            <w:r>
              <w:rPr>
                <w:rFonts w:hint="eastAsia" w:ascii="MS Gothic" w:hAnsi="MS Gothic" w:eastAsia="MS Gothic" w:cs="MS Gothic"/>
                <w:color w:val="333333"/>
                <w:sz w:val="24"/>
                <w:szCs w:val="24"/>
                <w:highlight w:val="none"/>
                <w:shd w:val="clear" w:color="auto" w:fill="FFFFFF"/>
              </w:rPr>
              <w:t>✓</w:t>
            </w:r>
          </w:p>
        </w:tc>
        <w:tc>
          <w:tcPr>
            <w:tcW w:w="440" w:type="pct"/>
            <w:shd w:val="clear" w:color="auto" w:fill="auto"/>
            <w:vAlign w:val="center"/>
          </w:tcPr>
          <w:p w14:paraId="10D7B120">
            <w:pPr>
              <w:spacing w:line="360" w:lineRule="exact"/>
              <w:jc w:val="center"/>
              <w:rPr>
                <w:rFonts w:ascii="仿宋_GB2312" w:hAnsi="仿宋_GB2312" w:eastAsia="仿宋_GB2312" w:cs="仿宋_GB2312"/>
                <w:kern w:val="2"/>
                <w:sz w:val="24"/>
                <w:szCs w:val="24"/>
                <w:highlight w:val="none"/>
                <w:lang w:val="en-US" w:eastAsia="zh-CN" w:bidi="ar-SA"/>
              </w:rPr>
            </w:pPr>
          </w:p>
        </w:tc>
      </w:tr>
      <w:tr w14:paraId="4A62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7" w:type="pct"/>
            <w:vAlign w:val="center"/>
          </w:tcPr>
          <w:p w14:paraId="108EC4A3">
            <w:pPr>
              <w:spacing w:line="360" w:lineRule="exact"/>
              <w:jc w:val="center"/>
              <w:rPr>
                <w:rFonts w:ascii="仿宋_GB2312" w:hAnsi="仿宋_GB2312" w:cs="仿宋_GB2312"/>
                <w:kern w:val="0"/>
                <w:sz w:val="21"/>
                <w:szCs w:val="21"/>
                <w:highlight w:val="none"/>
              </w:rPr>
            </w:pPr>
            <w:r>
              <w:rPr>
                <w:rFonts w:hint="eastAsia" w:ascii="仿宋_GB2312" w:hAnsi="仿宋_GB2312" w:cs="仿宋_GB2312"/>
                <w:kern w:val="0"/>
                <w:sz w:val="21"/>
                <w:szCs w:val="21"/>
                <w:highlight w:val="none"/>
              </w:rPr>
              <w:t>2</w:t>
            </w:r>
          </w:p>
        </w:tc>
        <w:tc>
          <w:tcPr>
            <w:tcW w:w="1054" w:type="pct"/>
            <w:shd w:val="clear" w:color="auto" w:fill="auto"/>
            <w:vAlign w:val="center"/>
          </w:tcPr>
          <w:p w14:paraId="501A530B">
            <w:pPr>
              <w:spacing w:line="360" w:lineRule="exact"/>
              <w:jc w:val="center"/>
              <w:rPr>
                <w:rFonts w:ascii="仿宋_GB2312" w:hAnsi="仿宋_GB2312" w:eastAsia="仿宋_GB2312" w:cs="仿宋_GB2312"/>
                <w:kern w:val="2"/>
                <w:sz w:val="24"/>
                <w:szCs w:val="24"/>
                <w:highlight w:val="none"/>
                <w:lang w:val="en-US" w:eastAsia="zh-CN" w:bidi="ar-SA"/>
              </w:rPr>
            </w:pPr>
            <w:r>
              <w:rPr>
                <w:rFonts w:hint="eastAsia" w:ascii="仿宋_GB2312" w:hAnsi="仿宋_GB2312" w:cs="仿宋_GB2312"/>
                <w:sz w:val="24"/>
                <w:szCs w:val="24"/>
                <w:highlight w:val="none"/>
              </w:rPr>
              <w:t>全国计算机等级考试</w:t>
            </w:r>
          </w:p>
        </w:tc>
        <w:tc>
          <w:tcPr>
            <w:tcW w:w="845" w:type="pct"/>
            <w:shd w:val="clear" w:color="auto" w:fill="auto"/>
            <w:vAlign w:val="center"/>
          </w:tcPr>
          <w:p w14:paraId="1CF09ED2">
            <w:pPr>
              <w:spacing w:line="360" w:lineRule="exact"/>
              <w:jc w:val="center"/>
              <w:rPr>
                <w:rFonts w:ascii="仿宋_GB2312" w:hAnsi="仿宋_GB2312" w:eastAsia="仿宋_GB2312" w:cs="仿宋_GB2312"/>
                <w:kern w:val="2"/>
                <w:sz w:val="24"/>
                <w:szCs w:val="24"/>
                <w:highlight w:val="none"/>
                <w:lang w:val="en-US" w:eastAsia="zh-CN" w:bidi="ar-SA"/>
              </w:rPr>
            </w:pPr>
            <w:r>
              <w:rPr>
                <w:rFonts w:hint="eastAsia" w:ascii="仿宋_GB2312" w:hAnsi="仿宋_GB2312" w:cs="仿宋_GB2312"/>
                <w:sz w:val="24"/>
                <w:szCs w:val="24"/>
                <w:highlight w:val="none"/>
              </w:rPr>
              <w:t>一级</w:t>
            </w:r>
          </w:p>
        </w:tc>
        <w:tc>
          <w:tcPr>
            <w:tcW w:w="1032" w:type="pct"/>
            <w:shd w:val="clear" w:color="auto" w:fill="auto"/>
            <w:vAlign w:val="center"/>
          </w:tcPr>
          <w:p w14:paraId="4A2F4699">
            <w:pPr>
              <w:spacing w:line="360" w:lineRule="exact"/>
              <w:jc w:val="center"/>
              <w:rPr>
                <w:rFonts w:ascii="仿宋_GB2312" w:hAnsi="仿宋_GB2312" w:eastAsia="仿宋_GB2312" w:cs="仿宋_GB2312"/>
                <w:kern w:val="2"/>
                <w:sz w:val="24"/>
                <w:szCs w:val="24"/>
                <w:highlight w:val="none"/>
                <w:lang w:val="en-US" w:eastAsia="zh-CN" w:bidi="ar-SA"/>
              </w:rPr>
            </w:pPr>
            <w:r>
              <w:rPr>
                <w:rFonts w:hint="eastAsia" w:ascii="仿宋_GB2312" w:hAnsi="仿宋_GB2312" w:cs="仿宋_GB2312"/>
                <w:sz w:val="24"/>
                <w:szCs w:val="24"/>
                <w:highlight w:val="none"/>
              </w:rPr>
              <w:t>教育部考试中心</w:t>
            </w:r>
          </w:p>
        </w:tc>
        <w:tc>
          <w:tcPr>
            <w:tcW w:w="815" w:type="pct"/>
            <w:shd w:val="clear" w:color="auto" w:fill="auto"/>
            <w:vAlign w:val="center"/>
          </w:tcPr>
          <w:p w14:paraId="12B42816">
            <w:pPr>
              <w:spacing w:line="360" w:lineRule="exact"/>
              <w:jc w:val="center"/>
              <w:rPr>
                <w:rFonts w:ascii="仿宋_GB2312" w:hAnsi="仿宋_GB2312" w:eastAsia="仿宋_GB2312" w:cs="仿宋_GB2312"/>
                <w:kern w:val="2"/>
                <w:sz w:val="24"/>
                <w:szCs w:val="24"/>
                <w:highlight w:val="none"/>
                <w:lang w:val="en-US" w:eastAsia="zh-CN" w:bidi="ar-SA"/>
              </w:rPr>
            </w:pPr>
            <w:r>
              <w:rPr>
                <w:rFonts w:hint="eastAsia" w:ascii="仿宋_GB2312" w:hAnsi="仿宋_GB2312" w:cs="仿宋_GB2312"/>
                <w:sz w:val="24"/>
                <w:szCs w:val="24"/>
                <w:highlight w:val="none"/>
              </w:rPr>
              <w:t>2</w:t>
            </w:r>
          </w:p>
        </w:tc>
        <w:tc>
          <w:tcPr>
            <w:tcW w:w="424" w:type="pct"/>
            <w:shd w:val="clear" w:color="auto" w:fill="auto"/>
            <w:vAlign w:val="center"/>
          </w:tcPr>
          <w:p w14:paraId="247298EE">
            <w:pPr>
              <w:spacing w:line="360" w:lineRule="exact"/>
              <w:jc w:val="center"/>
              <w:rPr>
                <w:rFonts w:ascii="仿宋_GB2312" w:hAnsi="仿宋_GB2312" w:eastAsia="仿宋_GB2312" w:cs="仿宋_GB2312"/>
                <w:kern w:val="2"/>
                <w:sz w:val="24"/>
                <w:szCs w:val="24"/>
                <w:highlight w:val="none"/>
                <w:lang w:val="en-US" w:eastAsia="zh-CN" w:bidi="ar-SA"/>
              </w:rPr>
            </w:pPr>
            <w:r>
              <w:rPr>
                <w:rFonts w:hint="eastAsia" w:ascii="MS Gothic" w:hAnsi="MS Gothic" w:eastAsia="MS Gothic" w:cs="MS Gothic"/>
                <w:color w:val="333333"/>
                <w:sz w:val="24"/>
                <w:szCs w:val="24"/>
                <w:highlight w:val="none"/>
                <w:shd w:val="clear" w:color="auto" w:fill="FFFFFF"/>
              </w:rPr>
              <w:t>✓</w:t>
            </w:r>
          </w:p>
        </w:tc>
        <w:tc>
          <w:tcPr>
            <w:tcW w:w="440" w:type="pct"/>
            <w:shd w:val="clear" w:color="auto" w:fill="auto"/>
            <w:vAlign w:val="center"/>
          </w:tcPr>
          <w:p w14:paraId="5B619A22">
            <w:pPr>
              <w:spacing w:line="360" w:lineRule="exact"/>
              <w:jc w:val="center"/>
              <w:rPr>
                <w:rFonts w:ascii="仿宋_GB2312" w:hAnsi="仿宋_GB2312" w:eastAsia="仿宋_GB2312" w:cs="仿宋_GB2312"/>
                <w:kern w:val="2"/>
                <w:sz w:val="24"/>
                <w:szCs w:val="24"/>
                <w:highlight w:val="none"/>
                <w:lang w:val="en-US" w:eastAsia="zh-CN" w:bidi="ar-SA"/>
              </w:rPr>
            </w:pPr>
          </w:p>
        </w:tc>
      </w:tr>
      <w:tr w14:paraId="0175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7" w:type="pct"/>
            <w:vAlign w:val="center"/>
          </w:tcPr>
          <w:p w14:paraId="22B8129F">
            <w:pPr>
              <w:spacing w:line="360" w:lineRule="exact"/>
              <w:jc w:val="center"/>
              <w:rPr>
                <w:rFonts w:hint="eastAsia" w:ascii="仿宋_GB2312" w:hAnsi="仿宋_GB2312" w:eastAsia="仿宋_GB2312" w:cs="仿宋_GB2312"/>
                <w:kern w:val="0"/>
                <w:sz w:val="21"/>
                <w:szCs w:val="21"/>
                <w:highlight w:val="none"/>
                <w:lang w:eastAsia="zh-CN"/>
              </w:rPr>
            </w:pPr>
            <w:r>
              <w:rPr>
                <w:rFonts w:hint="eastAsia" w:ascii="仿宋_GB2312" w:hAnsi="仿宋_GB2312" w:cs="仿宋_GB2312"/>
                <w:kern w:val="0"/>
                <w:sz w:val="21"/>
                <w:szCs w:val="21"/>
                <w:highlight w:val="none"/>
                <w:lang w:val="en-US" w:eastAsia="zh-CN"/>
              </w:rPr>
              <w:t>3</w:t>
            </w:r>
          </w:p>
        </w:tc>
        <w:tc>
          <w:tcPr>
            <w:tcW w:w="1054" w:type="pct"/>
            <w:shd w:val="clear" w:color="auto" w:fill="auto"/>
            <w:vAlign w:val="center"/>
          </w:tcPr>
          <w:p w14:paraId="0AAF18E2">
            <w:pPr>
              <w:spacing w:line="360" w:lineRule="exact"/>
              <w:jc w:val="center"/>
              <w:rPr>
                <w:rFonts w:hint="default" w:ascii="仿宋_GB2312" w:hAnsi="仿宋_GB2312" w:eastAsia="仿宋_GB2312" w:cs="仿宋_GB2312"/>
                <w:kern w:val="0"/>
                <w:sz w:val="24"/>
                <w:szCs w:val="24"/>
                <w:highlight w:val="none"/>
                <w:lang w:val="en-US" w:eastAsia="zh-CN" w:bidi="ar-SA"/>
              </w:rPr>
            </w:pPr>
            <w:r>
              <w:rPr>
                <w:rFonts w:hint="eastAsia" w:ascii="仿宋_GB2312" w:hAnsi="宋体" w:cs="宋体"/>
                <w:spacing w:val="1"/>
                <w:sz w:val="24"/>
                <w:szCs w:val="24"/>
                <w:highlight w:val="none"/>
                <w:lang w:val="en-US" w:eastAsia="zh-CN"/>
              </w:rPr>
              <w:t>充电基础设施运维工程师</w:t>
            </w:r>
          </w:p>
        </w:tc>
        <w:tc>
          <w:tcPr>
            <w:tcW w:w="845" w:type="pct"/>
            <w:shd w:val="clear" w:color="auto" w:fill="auto"/>
            <w:vAlign w:val="center"/>
          </w:tcPr>
          <w:p w14:paraId="7A5A55A3">
            <w:pPr>
              <w:spacing w:line="360" w:lineRule="exact"/>
              <w:jc w:val="center"/>
              <w:rPr>
                <w:rFonts w:ascii="仿宋_GB2312" w:hAnsi="仿宋_GB2312" w:eastAsia="仿宋_GB2312" w:cs="仿宋_GB2312"/>
                <w:kern w:val="0"/>
                <w:sz w:val="24"/>
                <w:szCs w:val="24"/>
                <w:highlight w:val="none"/>
                <w:lang w:val="en-US" w:eastAsia="zh-CN" w:bidi="ar-SA"/>
              </w:rPr>
            </w:pPr>
            <w:r>
              <w:rPr>
                <w:rFonts w:hint="eastAsia" w:ascii="仿宋_GB2312" w:hAnsi="仿宋_GB2312" w:cs="仿宋_GB2312"/>
                <w:kern w:val="0"/>
                <w:sz w:val="24"/>
                <w:szCs w:val="24"/>
                <w:highlight w:val="none"/>
              </w:rPr>
              <w:t>中级</w:t>
            </w:r>
          </w:p>
        </w:tc>
        <w:tc>
          <w:tcPr>
            <w:tcW w:w="1032" w:type="pct"/>
            <w:shd w:val="clear" w:color="auto" w:fill="auto"/>
            <w:vAlign w:val="center"/>
          </w:tcPr>
          <w:p w14:paraId="76944F9D">
            <w:pPr>
              <w:spacing w:line="360" w:lineRule="exact"/>
              <w:jc w:val="center"/>
              <w:rPr>
                <w:rFonts w:hint="default" w:ascii="仿宋_GB2312" w:hAnsi="仿宋_GB2312" w:eastAsia="仿宋_GB2312" w:cs="仿宋_GB2312"/>
                <w:kern w:val="0"/>
                <w:sz w:val="24"/>
                <w:szCs w:val="24"/>
                <w:highlight w:val="none"/>
                <w:lang w:val="en-US" w:eastAsia="zh-CN" w:bidi="ar-SA"/>
              </w:rPr>
            </w:pPr>
            <w:r>
              <w:rPr>
                <w:rFonts w:hint="eastAsia" w:ascii="仿宋_GB2312" w:hAnsi="仿宋_GB2312" w:cs="仿宋_GB2312"/>
                <w:kern w:val="0"/>
                <w:sz w:val="24"/>
                <w:szCs w:val="24"/>
                <w:highlight w:val="none"/>
                <w:lang w:val="en-US" w:eastAsia="zh-CN" w:bidi="ar-SA"/>
              </w:rPr>
              <w:t>安徽充换电公司</w:t>
            </w:r>
          </w:p>
        </w:tc>
        <w:tc>
          <w:tcPr>
            <w:tcW w:w="815" w:type="pct"/>
            <w:shd w:val="clear" w:color="auto" w:fill="auto"/>
            <w:vAlign w:val="center"/>
          </w:tcPr>
          <w:p w14:paraId="32BF2E8D">
            <w:pPr>
              <w:spacing w:line="360" w:lineRule="exact"/>
              <w:jc w:val="center"/>
              <w:rPr>
                <w:rFonts w:ascii="仿宋_GB2312" w:hAnsi="仿宋_GB2312" w:eastAsia="仿宋_GB2312" w:cs="仿宋_GB2312"/>
                <w:kern w:val="0"/>
                <w:sz w:val="24"/>
                <w:szCs w:val="24"/>
                <w:highlight w:val="none"/>
                <w:lang w:val="en-US" w:eastAsia="zh-CN" w:bidi="ar-SA"/>
              </w:rPr>
            </w:pPr>
            <w:r>
              <w:rPr>
                <w:rFonts w:hint="eastAsia" w:ascii="仿宋_GB2312" w:hAnsi="仿宋_GB2312" w:cs="仿宋_GB2312"/>
                <w:kern w:val="0"/>
                <w:sz w:val="24"/>
                <w:szCs w:val="24"/>
                <w:highlight w:val="none"/>
              </w:rPr>
              <w:t>4</w:t>
            </w:r>
          </w:p>
        </w:tc>
        <w:tc>
          <w:tcPr>
            <w:tcW w:w="424" w:type="pct"/>
            <w:shd w:val="clear" w:color="auto" w:fill="auto"/>
            <w:vAlign w:val="center"/>
          </w:tcPr>
          <w:p w14:paraId="6B699C14">
            <w:pPr>
              <w:spacing w:line="360" w:lineRule="exact"/>
              <w:jc w:val="center"/>
              <w:rPr>
                <w:rFonts w:ascii="仿宋_GB2312" w:hAnsi="仿宋_GB2312" w:eastAsia="仿宋_GB2312" w:cs="仿宋_GB2312"/>
                <w:kern w:val="2"/>
                <w:sz w:val="24"/>
                <w:szCs w:val="24"/>
                <w:highlight w:val="none"/>
                <w:lang w:val="en-US" w:eastAsia="zh-CN" w:bidi="ar-SA"/>
              </w:rPr>
            </w:pPr>
          </w:p>
        </w:tc>
        <w:tc>
          <w:tcPr>
            <w:tcW w:w="440" w:type="pct"/>
            <w:shd w:val="clear" w:color="auto" w:fill="auto"/>
            <w:vAlign w:val="center"/>
          </w:tcPr>
          <w:p w14:paraId="4D95A8B2">
            <w:pPr>
              <w:spacing w:line="360" w:lineRule="exact"/>
              <w:jc w:val="center"/>
              <w:rPr>
                <w:rFonts w:ascii="仿宋_GB2312" w:hAnsi="仿宋_GB2312" w:eastAsia="仿宋_GB2312" w:cs="仿宋_GB2312"/>
                <w:kern w:val="2"/>
                <w:sz w:val="24"/>
                <w:szCs w:val="24"/>
                <w:highlight w:val="none"/>
                <w:lang w:val="en-US" w:eastAsia="zh-CN" w:bidi="ar-SA"/>
              </w:rPr>
            </w:pPr>
            <w:r>
              <w:rPr>
                <w:rFonts w:hint="eastAsia" w:ascii="MS Gothic" w:hAnsi="MS Gothic" w:eastAsia="MS Gothic" w:cs="MS Gothic"/>
                <w:color w:val="333333"/>
                <w:sz w:val="24"/>
                <w:szCs w:val="24"/>
                <w:highlight w:val="none"/>
                <w:shd w:val="clear" w:color="auto" w:fill="FFFFFF"/>
              </w:rPr>
              <w:t>✓</w:t>
            </w:r>
          </w:p>
        </w:tc>
      </w:tr>
      <w:tr w14:paraId="524D7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87" w:type="pct"/>
            <w:vAlign w:val="center"/>
          </w:tcPr>
          <w:p w14:paraId="165037E2">
            <w:pPr>
              <w:spacing w:line="360" w:lineRule="exact"/>
              <w:jc w:val="center"/>
              <w:rPr>
                <w:rFonts w:hint="eastAsia" w:ascii="仿宋_GB2312" w:hAnsi="仿宋_GB2312" w:eastAsia="仿宋_GB2312" w:cs="仿宋_GB2312"/>
                <w:kern w:val="0"/>
                <w:sz w:val="21"/>
                <w:szCs w:val="21"/>
                <w:highlight w:val="none"/>
                <w:lang w:eastAsia="zh-CN"/>
              </w:rPr>
            </w:pPr>
            <w:r>
              <w:rPr>
                <w:rFonts w:hint="eastAsia" w:ascii="仿宋_GB2312" w:hAnsi="仿宋_GB2312" w:cs="仿宋_GB2312"/>
                <w:kern w:val="0"/>
                <w:sz w:val="21"/>
                <w:szCs w:val="21"/>
                <w:highlight w:val="none"/>
                <w:lang w:val="en-US" w:eastAsia="zh-CN"/>
              </w:rPr>
              <w:t>4</w:t>
            </w:r>
          </w:p>
        </w:tc>
        <w:tc>
          <w:tcPr>
            <w:tcW w:w="1054" w:type="pct"/>
            <w:shd w:val="clear" w:color="auto" w:fill="auto"/>
            <w:vAlign w:val="center"/>
          </w:tcPr>
          <w:p w14:paraId="1E7C913A">
            <w:pPr>
              <w:jc w:val="center"/>
              <w:rPr>
                <w:rFonts w:ascii="仿宋_GB2312" w:hAnsi="仿宋_GB2312" w:eastAsia="仿宋_GB2312" w:cs="仿宋_GB2312"/>
                <w:kern w:val="0"/>
                <w:sz w:val="24"/>
                <w:szCs w:val="24"/>
                <w:highlight w:val="none"/>
                <w:lang w:val="zh-CN" w:eastAsia="zh-CN" w:bidi="ar-SA"/>
              </w:rPr>
            </w:pPr>
            <w:r>
              <w:rPr>
                <w:rFonts w:hint="eastAsia" w:ascii="仿宋_GB2312" w:hAnsi="仿宋_GB2312" w:cs="仿宋_GB2312"/>
                <w:kern w:val="0"/>
                <w:sz w:val="24"/>
                <w:szCs w:val="24"/>
                <w:highlight w:val="none"/>
                <w:lang w:val="zh-CN"/>
              </w:rPr>
              <w:t>普通话水平测试等级证书</w:t>
            </w:r>
          </w:p>
        </w:tc>
        <w:tc>
          <w:tcPr>
            <w:tcW w:w="845" w:type="pct"/>
            <w:shd w:val="clear" w:color="auto" w:fill="auto"/>
            <w:vAlign w:val="center"/>
          </w:tcPr>
          <w:p w14:paraId="2BDC1EEC">
            <w:pPr>
              <w:jc w:val="center"/>
              <w:rPr>
                <w:rFonts w:ascii="仿宋_GB2312" w:hAnsi="仿宋_GB2312" w:eastAsia="仿宋_GB2312" w:cs="仿宋_GB2312"/>
                <w:kern w:val="0"/>
                <w:sz w:val="24"/>
                <w:szCs w:val="24"/>
                <w:highlight w:val="none"/>
                <w:lang w:val="zh-CN" w:eastAsia="zh-CN" w:bidi="ar-SA"/>
              </w:rPr>
            </w:pPr>
            <w:r>
              <w:rPr>
                <w:rFonts w:hint="eastAsia" w:ascii="仿宋_GB2312" w:hAnsi="仿宋_GB2312" w:cs="仿宋_GB2312"/>
                <w:kern w:val="0"/>
                <w:sz w:val="24"/>
                <w:szCs w:val="24"/>
                <w:highlight w:val="none"/>
                <w:lang w:val="zh-CN"/>
              </w:rPr>
              <w:t>三级以上</w:t>
            </w:r>
          </w:p>
        </w:tc>
        <w:tc>
          <w:tcPr>
            <w:tcW w:w="1032" w:type="pct"/>
            <w:shd w:val="clear" w:color="auto" w:fill="auto"/>
            <w:vAlign w:val="center"/>
          </w:tcPr>
          <w:p w14:paraId="369B1273">
            <w:pPr>
              <w:jc w:val="center"/>
              <w:rPr>
                <w:rFonts w:ascii="仿宋_GB2312" w:hAnsi="仿宋_GB2312" w:eastAsia="仿宋_GB2312" w:cs="仿宋_GB2312"/>
                <w:kern w:val="0"/>
                <w:sz w:val="24"/>
                <w:szCs w:val="24"/>
                <w:highlight w:val="none"/>
                <w:lang w:val="en-US" w:eastAsia="zh-CN" w:bidi="ar-SA"/>
              </w:rPr>
            </w:pPr>
            <w:r>
              <w:rPr>
                <w:rFonts w:hint="eastAsia" w:ascii="仿宋_GB2312" w:hAnsi="仿宋_GB2312" w:cs="仿宋_GB2312"/>
                <w:kern w:val="0"/>
                <w:sz w:val="24"/>
                <w:szCs w:val="24"/>
                <w:highlight w:val="none"/>
              </w:rPr>
              <w:t>普通话水平测试委员会</w:t>
            </w:r>
          </w:p>
        </w:tc>
        <w:tc>
          <w:tcPr>
            <w:tcW w:w="815" w:type="pct"/>
            <w:shd w:val="clear" w:color="auto" w:fill="auto"/>
            <w:vAlign w:val="center"/>
          </w:tcPr>
          <w:p w14:paraId="761F8547">
            <w:pPr>
              <w:spacing w:line="360" w:lineRule="exact"/>
              <w:jc w:val="center"/>
              <w:rPr>
                <w:rFonts w:ascii="仿宋_GB2312" w:hAnsi="仿宋_GB2312" w:eastAsia="仿宋_GB2312" w:cs="仿宋_GB2312"/>
                <w:kern w:val="0"/>
                <w:sz w:val="24"/>
                <w:szCs w:val="24"/>
                <w:highlight w:val="none"/>
                <w:lang w:val="en-US" w:eastAsia="zh-CN" w:bidi="ar-SA"/>
              </w:rPr>
            </w:pPr>
            <w:r>
              <w:rPr>
                <w:rFonts w:hint="eastAsia" w:ascii="仿宋_GB2312" w:hAnsi="仿宋_GB2312" w:cs="仿宋_GB2312"/>
                <w:kern w:val="0"/>
                <w:sz w:val="24"/>
                <w:szCs w:val="24"/>
                <w:highlight w:val="none"/>
              </w:rPr>
              <w:t>3-4</w:t>
            </w:r>
          </w:p>
        </w:tc>
        <w:tc>
          <w:tcPr>
            <w:tcW w:w="424" w:type="pct"/>
            <w:shd w:val="clear" w:color="auto" w:fill="auto"/>
            <w:vAlign w:val="center"/>
          </w:tcPr>
          <w:p w14:paraId="3248DF7E">
            <w:pPr>
              <w:spacing w:line="360" w:lineRule="exact"/>
              <w:jc w:val="center"/>
              <w:rPr>
                <w:rFonts w:ascii="仿宋_GB2312" w:hAnsi="仿宋_GB2312" w:eastAsia="仿宋_GB2312" w:cs="仿宋_GB2312"/>
                <w:kern w:val="2"/>
                <w:sz w:val="24"/>
                <w:szCs w:val="24"/>
                <w:highlight w:val="none"/>
                <w:lang w:val="en-US" w:eastAsia="zh-CN" w:bidi="ar-SA"/>
              </w:rPr>
            </w:pPr>
          </w:p>
        </w:tc>
        <w:tc>
          <w:tcPr>
            <w:tcW w:w="440" w:type="pct"/>
            <w:shd w:val="clear" w:color="auto" w:fill="auto"/>
            <w:vAlign w:val="center"/>
          </w:tcPr>
          <w:p w14:paraId="30B2B16D">
            <w:pPr>
              <w:spacing w:line="360" w:lineRule="exact"/>
              <w:jc w:val="center"/>
              <w:rPr>
                <w:rFonts w:ascii="仿宋_GB2312" w:hAnsi="仿宋_GB2312" w:eastAsia="仿宋_GB2312" w:cs="仿宋_GB2312"/>
                <w:kern w:val="2"/>
                <w:sz w:val="24"/>
                <w:szCs w:val="24"/>
                <w:highlight w:val="none"/>
                <w:lang w:val="en-US" w:eastAsia="zh-CN" w:bidi="ar-SA"/>
              </w:rPr>
            </w:pPr>
            <w:r>
              <w:rPr>
                <w:rFonts w:hint="eastAsia" w:ascii="MS Gothic" w:hAnsi="MS Gothic" w:eastAsia="MS Gothic" w:cs="MS Gothic"/>
                <w:color w:val="333333"/>
                <w:sz w:val="24"/>
                <w:szCs w:val="24"/>
                <w:highlight w:val="none"/>
                <w:shd w:val="clear" w:color="auto" w:fill="FFFFFF"/>
              </w:rPr>
              <w:t>✓</w:t>
            </w:r>
          </w:p>
        </w:tc>
      </w:tr>
    </w:tbl>
    <w:p w14:paraId="2A49511A">
      <w:pPr>
        <w:pStyle w:val="2"/>
        <w:spacing w:before="62" w:after="62"/>
        <w:ind w:firstLine="480"/>
        <w:rPr>
          <w:sz w:val="24"/>
          <w:szCs w:val="24"/>
          <w:highlight w:val="none"/>
        </w:rPr>
      </w:pPr>
      <w:bookmarkStart w:id="88" w:name="_Toc201407694"/>
      <w:r>
        <w:rPr>
          <w:rFonts w:hint="eastAsia"/>
          <w:sz w:val="24"/>
          <w:szCs w:val="24"/>
          <w:highlight w:val="none"/>
        </w:rPr>
        <w:t>十、方案编制人员信息表</w:t>
      </w:r>
      <w:bookmarkEnd w:id="88"/>
    </w:p>
    <w:p w14:paraId="59B915CE">
      <w:pPr>
        <w:jc w:val="center"/>
        <w:rPr>
          <w:rFonts w:eastAsia="黑体"/>
          <w:sz w:val="24"/>
          <w:szCs w:val="24"/>
          <w:highlight w:val="none"/>
        </w:rPr>
      </w:pPr>
      <w:r>
        <w:rPr>
          <w:rFonts w:hint="eastAsia" w:ascii="仿宋_GB2312" w:hAnsi="仿宋_GB2312" w:cs="仿宋_GB2312"/>
          <w:b/>
          <w:sz w:val="24"/>
          <w:szCs w:val="24"/>
          <w:highlight w:val="none"/>
        </w:rPr>
        <w:t xml:space="preserve">表十   </w:t>
      </w:r>
      <w:r>
        <w:rPr>
          <w:rFonts w:hint="eastAsia" w:ascii="仿宋_GB2312" w:hAnsi="仿宋_GB2312" w:cs="仿宋_GB2312"/>
          <w:b/>
          <w:sz w:val="24"/>
          <w:szCs w:val="24"/>
          <w:highlight w:val="none"/>
          <w:lang w:val="en-US" w:eastAsia="zh-CN"/>
        </w:rPr>
        <w:t>新能源汽车检测与维修技术</w:t>
      </w:r>
      <w:r>
        <w:rPr>
          <w:rFonts w:hint="eastAsia" w:ascii="仿宋_GB2312" w:hAnsi="仿宋_GB2312" w:cs="仿宋_GB2312"/>
          <w:b/>
          <w:sz w:val="24"/>
          <w:szCs w:val="24"/>
          <w:highlight w:val="none"/>
        </w:rPr>
        <w:t>专业人才培养方案编制人员信息表</w:t>
      </w:r>
    </w:p>
    <w:tbl>
      <w:tblPr>
        <w:tblStyle w:val="16"/>
        <w:tblW w:w="55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249"/>
        <w:gridCol w:w="1048"/>
        <w:gridCol w:w="1211"/>
        <w:gridCol w:w="1081"/>
        <w:gridCol w:w="1247"/>
        <w:gridCol w:w="1447"/>
        <w:gridCol w:w="1269"/>
      </w:tblGrid>
      <w:tr w14:paraId="78CB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8" w:type="pct"/>
            <w:vAlign w:val="center"/>
          </w:tcPr>
          <w:p w14:paraId="2C8664FE">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二级</w:t>
            </w:r>
          </w:p>
          <w:p w14:paraId="3ADD1FFE">
            <w:pPr>
              <w:jc w:val="center"/>
              <w:rPr>
                <w:rFonts w:ascii="仿宋_GB2312" w:hAnsi="仿宋_GB2312" w:cs="仿宋_GB2312"/>
                <w:sz w:val="21"/>
                <w:szCs w:val="21"/>
                <w:highlight w:val="none"/>
              </w:rPr>
            </w:pPr>
            <w:r>
              <w:rPr>
                <w:rFonts w:hint="eastAsia" w:ascii="仿宋_GB2312" w:hAnsi="仿宋_GB2312" w:cs="仿宋_GB2312"/>
                <w:b/>
                <w:bCs/>
                <w:sz w:val="21"/>
                <w:szCs w:val="21"/>
                <w:highlight w:val="none"/>
              </w:rPr>
              <w:t>学院</w:t>
            </w:r>
          </w:p>
        </w:tc>
        <w:tc>
          <w:tcPr>
            <w:tcW w:w="661" w:type="pct"/>
            <w:shd w:val="clear" w:color="auto" w:fill="auto"/>
            <w:vAlign w:val="center"/>
          </w:tcPr>
          <w:p w14:paraId="50212432">
            <w:pPr>
              <w:snapToGrid w:val="0"/>
              <w:jc w:val="center"/>
              <w:rPr>
                <w:rFonts w:ascii="仿宋_GB2312" w:hAnsi="仿宋_GB2312" w:cs="仿宋_GB2312"/>
                <w:sz w:val="21"/>
                <w:szCs w:val="21"/>
                <w:highlight w:val="none"/>
              </w:rPr>
            </w:pPr>
            <w:r>
              <w:rPr>
                <w:rFonts w:hint="eastAsia" w:ascii="仿宋_GB2312" w:hAnsi="仿宋_GB2312" w:cs="仿宋_GB2312"/>
                <w:sz w:val="21"/>
                <w:szCs w:val="21"/>
                <w:highlight w:val="none"/>
                <w:lang w:val="en-US" w:eastAsia="zh-CN"/>
              </w:rPr>
              <w:t>智慧交通</w:t>
            </w:r>
            <w:r>
              <w:rPr>
                <w:rFonts w:hint="eastAsia" w:ascii="仿宋_GB2312" w:hAnsi="仿宋_GB2312" w:cs="仿宋_GB2312"/>
                <w:sz w:val="21"/>
                <w:szCs w:val="21"/>
                <w:highlight w:val="none"/>
              </w:rPr>
              <w:t>学院</w:t>
            </w:r>
          </w:p>
        </w:tc>
        <w:tc>
          <w:tcPr>
            <w:tcW w:w="555" w:type="pct"/>
            <w:shd w:val="clear" w:color="auto" w:fill="auto"/>
            <w:vAlign w:val="center"/>
          </w:tcPr>
          <w:p w14:paraId="22767299">
            <w:pPr>
              <w:snapToGrid w:val="0"/>
              <w:jc w:val="center"/>
              <w:rPr>
                <w:rFonts w:ascii="仿宋_GB2312" w:hAnsi="仿宋_GB2312" w:cs="仿宋_GB2312"/>
                <w:sz w:val="21"/>
                <w:szCs w:val="21"/>
                <w:highlight w:val="none"/>
              </w:rPr>
            </w:pPr>
            <w:r>
              <w:rPr>
                <w:rFonts w:hint="eastAsia" w:ascii="仿宋_GB2312" w:hAnsi="仿宋_GB2312" w:cs="仿宋_GB2312"/>
                <w:b/>
                <w:bCs/>
                <w:sz w:val="21"/>
                <w:szCs w:val="21"/>
                <w:highlight w:val="none"/>
              </w:rPr>
              <w:t>教研室</w:t>
            </w:r>
          </w:p>
        </w:tc>
        <w:tc>
          <w:tcPr>
            <w:tcW w:w="641" w:type="pct"/>
            <w:shd w:val="clear" w:color="auto" w:fill="auto"/>
            <w:vAlign w:val="center"/>
          </w:tcPr>
          <w:p w14:paraId="351728A8">
            <w:pPr>
              <w:snapToGrid w:val="0"/>
              <w:jc w:val="center"/>
              <w:rPr>
                <w:rFonts w:hint="default"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新能源汽车教研室</w:t>
            </w:r>
          </w:p>
        </w:tc>
        <w:tc>
          <w:tcPr>
            <w:tcW w:w="572" w:type="pct"/>
            <w:shd w:val="clear" w:color="auto" w:fill="auto"/>
            <w:vAlign w:val="center"/>
          </w:tcPr>
          <w:p w14:paraId="547F7D09">
            <w:pPr>
              <w:snapToGrid w:val="0"/>
              <w:jc w:val="center"/>
              <w:rPr>
                <w:rFonts w:ascii="仿宋_GB2312" w:hAnsi="仿宋_GB2312" w:cs="仿宋_GB2312"/>
                <w:sz w:val="21"/>
                <w:szCs w:val="21"/>
                <w:highlight w:val="none"/>
              </w:rPr>
            </w:pPr>
            <w:r>
              <w:rPr>
                <w:rFonts w:hint="eastAsia" w:ascii="仿宋_GB2312" w:hAnsi="仿宋_GB2312" w:cs="仿宋_GB2312"/>
                <w:b/>
                <w:bCs/>
                <w:sz w:val="21"/>
                <w:szCs w:val="21"/>
                <w:highlight w:val="none"/>
              </w:rPr>
              <w:t>教研室主任</w:t>
            </w:r>
          </w:p>
        </w:tc>
        <w:tc>
          <w:tcPr>
            <w:tcW w:w="660" w:type="pct"/>
            <w:shd w:val="clear" w:color="auto" w:fill="auto"/>
            <w:vAlign w:val="center"/>
          </w:tcPr>
          <w:p w14:paraId="39ECB177">
            <w:pPr>
              <w:snapToGrid w:val="0"/>
              <w:jc w:val="center"/>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田茂凯</w:t>
            </w:r>
          </w:p>
        </w:tc>
        <w:tc>
          <w:tcPr>
            <w:tcW w:w="766" w:type="pct"/>
            <w:shd w:val="clear" w:color="auto" w:fill="auto"/>
            <w:vAlign w:val="center"/>
          </w:tcPr>
          <w:p w14:paraId="4860EAFC">
            <w:pPr>
              <w:snapToGrid w:val="0"/>
              <w:jc w:val="center"/>
              <w:rPr>
                <w:rFonts w:ascii="仿宋_GB2312" w:hAnsi="仿宋_GB2312" w:cs="仿宋_GB2312"/>
                <w:sz w:val="21"/>
                <w:szCs w:val="21"/>
                <w:highlight w:val="none"/>
              </w:rPr>
            </w:pPr>
            <w:r>
              <w:rPr>
                <w:rFonts w:hint="eastAsia" w:ascii="仿宋_GB2312" w:hAnsi="仿宋_GB2312" w:cs="仿宋_GB2312"/>
                <w:b/>
                <w:bCs/>
                <w:sz w:val="21"/>
                <w:szCs w:val="21"/>
                <w:highlight w:val="none"/>
              </w:rPr>
              <w:t>专业带头人</w:t>
            </w:r>
          </w:p>
        </w:tc>
        <w:tc>
          <w:tcPr>
            <w:tcW w:w="672" w:type="pct"/>
            <w:shd w:val="clear" w:color="auto" w:fill="auto"/>
            <w:vAlign w:val="center"/>
          </w:tcPr>
          <w:p w14:paraId="4923ADB2">
            <w:pPr>
              <w:snapToGrid w:val="0"/>
              <w:jc w:val="center"/>
              <w:rPr>
                <w:rFonts w:ascii="仿宋_GB2312" w:hAnsi="仿宋_GB2312" w:cs="仿宋_GB2312"/>
                <w:sz w:val="21"/>
                <w:szCs w:val="21"/>
                <w:highlight w:val="none"/>
              </w:rPr>
            </w:pPr>
            <w:r>
              <w:rPr>
                <w:rFonts w:hint="eastAsia" w:ascii="仿宋_GB2312" w:hAnsi="仿宋_GB2312" w:cs="仿宋_GB2312"/>
                <w:sz w:val="21"/>
                <w:szCs w:val="21"/>
                <w:highlight w:val="none"/>
                <w:lang w:val="en-US" w:eastAsia="zh-CN"/>
              </w:rPr>
              <w:t>田茂凯</w:t>
            </w:r>
          </w:p>
        </w:tc>
      </w:tr>
      <w:tr w14:paraId="639C2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8" w:type="pct"/>
            <w:vMerge w:val="restart"/>
            <w:vAlign w:val="center"/>
          </w:tcPr>
          <w:p w14:paraId="2FDEC9B9">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参与</w:t>
            </w:r>
          </w:p>
          <w:p w14:paraId="10ED8744">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人员</w:t>
            </w:r>
          </w:p>
        </w:tc>
        <w:tc>
          <w:tcPr>
            <w:tcW w:w="661" w:type="pct"/>
            <w:vAlign w:val="center"/>
          </w:tcPr>
          <w:p w14:paraId="036AF301">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编制者</w:t>
            </w:r>
          </w:p>
        </w:tc>
        <w:tc>
          <w:tcPr>
            <w:tcW w:w="555" w:type="pct"/>
            <w:vAlign w:val="center"/>
          </w:tcPr>
          <w:p w14:paraId="38F922CA">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姓名</w:t>
            </w:r>
          </w:p>
        </w:tc>
        <w:tc>
          <w:tcPr>
            <w:tcW w:w="641" w:type="pct"/>
            <w:vAlign w:val="center"/>
          </w:tcPr>
          <w:p w14:paraId="48B8666A">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职务</w:t>
            </w:r>
          </w:p>
        </w:tc>
        <w:tc>
          <w:tcPr>
            <w:tcW w:w="572" w:type="pct"/>
            <w:vAlign w:val="center"/>
          </w:tcPr>
          <w:p w14:paraId="653DD1D6">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职称</w:t>
            </w:r>
          </w:p>
        </w:tc>
        <w:tc>
          <w:tcPr>
            <w:tcW w:w="660" w:type="pct"/>
            <w:vAlign w:val="center"/>
          </w:tcPr>
          <w:p w14:paraId="0FA7FD13">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工作</w:t>
            </w:r>
          </w:p>
          <w:p w14:paraId="3AA47ED2">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单位</w:t>
            </w:r>
          </w:p>
        </w:tc>
        <w:tc>
          <w:tcPr>
            <w:tcW w:w="766" w:type="pct"/>
            <w:vAlign w:val="center"/>
          </w:tcPr>
          <w:p w14:paraId="53A20B9D">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职责</w:t>
            </w:r>
          </w:p>
          <w:p w14:paraId="0AA47143">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分工</w:t>
            </w:r>
          </w:p>
        </w:tc>
        <w:tc>
          <w:tcPr>
            <w:tcW w:w="672" w:type="pct"/>
            <w:vAlign w:val="center"/>
          </w:tcPr>
          <w:p w14:paraId="6199C80B">
            <w:pPr>
              <w:jc w:val="center"/>
              <w:rPr>
                <w:rFonts w:ascii="仿宋_GB2312" w:hAnsi="仿宋_GB2312" w:cs="仿宋_GB2312"/>
                <w:sz w:val="21"/>
                <w:szCs w:val="21"/>
                <w:highlight w:val="none"/>
              </w:rPr>
            </w:pPr>
            <w:r>
              <w:rPr>
                <w:rFonts w:hint="eastAsia" w:ascii="仿宋_GB2312" w:hAnsi="仿宋_GB2312" w:cs="仿宋_GB2312"/>
                <w:b/>
                <w:bCs/>
                <w:sz w:val="21"/>
                <w:szCs w:val="21"/>
                <w:highlight w:val="none"/>
              </w:rPr>
              <w:t>备注</w:t>
            </w:r>
          </w:p>
        </w:tc>
      </w:tr>
      <w:tr w14:paraId="12714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8" w:type="pct"/>
            <w:vMerge w:val="continue"/>
            <w:vAlign w:val="center"/>
          </w:tcPr>
          <w:p w14:paraId="7912CA04">
            <w:pPr>
              <w:jc w:val="center"/>
              <w:rPr>
                <w:rFonts w:ascii="仿宋_GB2312" w:hAnsi="仿宋_GB2312" w:cs="仿宋_GB2312"/>
                <w:b/>
                <w:bCs/>
                <w:sz w:val="21"/>
                <w:szCs w:val="21"/>
                <w:highlight w:val="none"/>
              </w:rPr>
            </w:pPr>
          </w:p>
        </w:tc>
        <w:tc>
          <w:tcPr>
            <w:tcW w:w="661" w:type="pct"/>
            <w:vMerge w:val="restart"/>
            <w:shd w:val="clear" w:color="auto" w:fill="auto"/>
            <w:vAlign w:val="center"/>
          </w:tcPr>
          <w:p w14:paraId="60DCE22E">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学院</w:t>
            </w:r>
          </w:p>
          <w:p w14:paraId="14DDD9C0">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教师</w:t>
            </w:r>
          </w:p>
        </w:tc>
        <w:tc>
          <w:tcPr>
            <w:tcW w:w="555" w:type="pct"/>
            <w:shd w:val="clear" w:color="auto" w:fill="auto"/>
            <w:vAlign w:val="center"/>
          </w:tcPr>
          <w:p w14:paraId="1DF768D4">
            <w:pPr>
              <w:jc w:val="center"/>
              <w:rPr>
                <w:rFonts w:hint="eastAsia" w:eastAsia="仿宋_GB2312"/>
                <w:sz w:val="21"/>
                <w:szCs w:val="21"/>
                <w:highlight w:val="none"/>
                <w:lang w:eastAsia="zh-CN"/>
              </w:rPr>
            </w:pPr>
            <w:r>
              <w:rPr>
                <w:rFonts w:hint="eastAsia" w:ascii="仿宋_GB2312" w:hAnsi="仿宋_GB2312" w:cs="仿宋_GB2312"/>
                <w:sz w:val="21"/>
                <w:szCs w:val="21"/>
                <w:highlight w:val="none"/>
                <w:lang w:val="en-US" w:eastAsia="zh-CN"/>
              </w:rPr>
              <w:t>朱超才</w:t>
            </w:r>
          </w:p>
        </w:tc>
        <w:tc>
          <w:tcPr>
            <w:tcW w:w="641" w:type="pct"/>
            <w:shd w:val="clear" w:color="auto" w:fill="auto"/>
            <w:vAlign w:val="center"/>
          </w:tcPr>
          <w:p w14:paraId="377D4AD5">
            <w:pPr>
              <w:snapToGrid w:val="0"/>
              <w:jc w:val="center"/>
              <w:rPr>
                <w:rFonts w:ascii="仿宋_GB2312" w:hAnsi="仿宋_GB2312" w:cs="仿宋_GB2312"/>
                <w:color w:val="000000" w:themeColor="text1"/>
                <w:sz w:val="21"/>
                <w:szCs w:val="21"/>
                <w:highlight w:val="none"/>
                <w14:textFill>
                  <w14:solidFill>
                    <w14:schemeClr w14:val="tx1"/>
                  </w14:solidFill>
                </w14:textFill>
              </w:rPr>
            </w:pPr>
            <w:r>
              <w:rPr>
                <w:rFonts w:hint="eastAsia" w:ascii="仿宋_GB2312" w:hAnsi="仿宋_GB2312" w:cs="仿宋_GB2312"/>
                <w:color w:val="000000" w:themeColor="text1"/>
                <w:sz w:val="21"/>
                <w:szCs w:val="21"/>
                <w:highlight w:val="none"/>
                <w14:textFill>
                  <w14:solidFill>
                    <w14:schemeClr w14:val="tx1"/>
                  </w14:solidFill>
                </w14:textFill>
              </w:rPr>
              <w:t>院长</w:t>
            </w:r>
          </w:p>
        </w:tc>
        <w:tc>
          <w:tcPr>
            <w:tcW w:w="572" w:type="pct"/>
            <w:shd w:val="clear" w:color="auto" w:fill="auto"/>
            <w:vAlign w:val="center"/>
          </w:tcPr>
          <w:p w14:paraId="5CACA199">
            <w:pPr>
              <w:snapToGrid w:val="0"/>
              <w:jc w:val="center"/>
              <w:rPr>
                <w:rFonts w:ascii="仿宋_GB2312" w:hAnsi="仿宋_GB2312" w:cs="仿宋_GB2312"/>
                <w:color w:val="000000" w:themeColor="text1"/>
                <w:sz w:val="21"/>
                <w:szCs w:val="21"/>
                <w:highlight w:val="none"/>
                <w14:textFill>
                  <w14:solidFill>
                    <w14:schemeClr w14:val="tx1"/>
                  </w14:solidFill>
                </w14:textFill>
              </w:rPr>
            </w:pPr>
            <w:r>
              <w:rPr>
                <w:rFonts w:hint="eastAsia" w:ascii="仿宋_GB2312" w:hAnsi="仿宋_GB2312" w:cs="仿宋_GB2312"/>
                <w:color w:val="000000" w:themeColor="text1"/>
                <w:sz w:val="21"/>
                <w:szCs w:val="21"/>
                <w:highlight w:val="none"/>
                <w14:textFill>
                  <w14:solidFill>
                    <w14:schemeClr w14:val="tx1"/>
                  </w14:solidFill>
                </w14:textFill>
              </w:rPr>
              <w:t>教授</w:t>
            </w:r>
          </w:p>
        </w:tc>
        <w:tc>
          <w:tcPr>
            <w:tcW w:w="660" w:type="pct"/>
            <w:shd w:val="clear" w:color="auto" w:fill="auto"/>
            <w:vAlign w:val="center"/>
          </w:tcPr>
          <w:p w14:paraId="65C04AB7">
            <w:pPr>
              <w:snapToGrid w:val="0"/>
              <w:jc w:val="center"/>
              <w:rPr>
                <w:rFonts w:ascii="仿宋_GB2312" w:hAnsi="仿宋_GB2312" w:cs="仿宋_GB2312"/>
                <w:color w:val="000000" w:themeColor="text1"/>
                <w:sz w:val="21"/>
                <w:szCs w:val="21"/>
                <w:highlight w:val="none"/>
                <w14:textFill>
                  <w14:solidFill>
                    <w14:schemeClr w14:val="tx1"/>
                  </w14:solidFill>
                </w14:textFill>
              </w:rPr>
            </w:pPr>
            <w:r>
              <w:rPr>
                <w:rFonts w:hint="eastAsia" w:ascii="仿宋_GB2312" w:hAnsi="仿宋_GB2312" w:cs="仿宋_GB2312"/>
                <w:color w:val="000000" w:themeColor="text1"/>
                <w:sz w:val="21"/>
                <w:szCs w:val="21"/>
                <w:highlight w:val="none"/>
                <w:lang w:val="en-US" w:eastAsia="zh-CN"/>
                <w14:textFill>
                  <w14:solidFill>
                    <w14:schemeClr w14:val="tx1"/>
                  </w14:solidFill>
                </w14:textFill>
              </w:rPr>
              <w:t>安徽国际商务职业学院</w:t>
            </w:r>
          </w:p>
        </w:tc>
        <w:tc>
          <w:tcPr>
            <w:tcW w:w="766" w:type="pct"/>
            <w:shd w:val="clear" w:color="auto" w:fill="auto"/>
            <w:vAlign w:val="center"/>
          </w:tcPr>
          <w:p w14:paraId="1CFF2A0C">
            <w:pPr>
              <w:snapToGrid w:val="0"/>
              <w:jc w:val="center"/>
              <w:rPr>
                <w:rFonts w:ascii="仿宋_GB2312" w:hAnsi="仿宋_GB2312" w:cs="仿宋_GB2312"/>
                <w:color w:val="000000" w:themeColor="text1"/>
                <w:sz w:val="21"/>
                <w:szCs w:val="21"/>
                <w:highlight w:val="none"/>
                <w14:textFill>
                  <w14:solidFill>
                    <w14:schemeClr w14:val="tx1"/>
                  </w14:solidFill>
                </w14:textFill>
              </w:rPr>
            </w:pPr>
            <w:r>
              <w:rPr>
                <w:rFonts w:hint="eastAsia" w:ascii="仿宋_GB2312" w:hAnsi="仿宋_GB2312" w:cs="仿宋_GB2312"/>
                <w:color w:val="000000" w:themeColor="text1"/>
                <w:sz w:val="21"/>
                <w:szCs w:val="21"/>
                <w:highlight w:val="none"/>
                <w14:textFill>
                  <w14:solidFill>
                    <w14:schemeClr w14:val="tx1"/>
                  </w14:solidFill>
                </w14:textFill>
              </w:rPr>
              <w:t>修订调研、统筹指导</w:t>
            </w:r>
          </w:p>
        </w:tc>
        <w:tc>
          <w:tcPr>
            <w:tcW w:w="672" w:type="pct"/>
            <w:shd w:val="clear" w:color="auto" w:fill="auto"/>
            <w:vAlign w:val="center"/>
          </w:tcPr>
          <w:p w14:paraId="03FCC07E">
            <w:pPr>
              <w:snapToGrid w:val="0"/>
              <w:jc w:val="center"/>
              <w:rPr>
                <w:rFonts w:ascii="仿宋_GB2312" w:hAnsi="仿宋_GB2312" w:cs="仿宋_GB2312"/>
                <w:color w:val="000000" w:themeColor="text1"/>
                <w:sz w:val="21"/>
                <w:szCs w:val="21"/>
                <w:highlight w:val="none"/>
                <w14:textFill>
                  <w14:solidFill>
                    <w14:schemeClr w14:val="tx1"/>
                  </w14:solidFill>
                </w14:textFill>
              </w:rPr>
            </w:pPr>
            <w:r>
              <w:rPr>
                <w:rFonts w:hint="eastAsia" w:ascii="仿宋_GB2312" w:hAnsi="仿宋_GB2312" w:cs="仿宋_GB2312"/>
                <w:color w:val="000000" w:themeColor="text1"/>
                <w:sz w:val="21"/>
                <w:szCs w:val="21"/>
                <w:highlight w:val="none"/>
                <w14:textFill>
                  <w14:solidFill>
                    <w14:schemeClr w14:val="tx1"/>
                  </w14:solidFill>
                </w14:textFill>
              </w:rPr>
              <w:t>修订主持人</w:t>
            </w:r>
          </w:p>
        </w:tc>
      </w:tr>
      <w:tr w14:paraId="0699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8" w:type="pct"/>
            <w:vMerge w:val="continue"/>
            <w:vAlign w:val="center"/>
          </w:tcPr>
          <w:p w14:paraId="1E1A49DE">
            <w:pPr>
              <w:jc w:val="center"/>
              <w:rPr>
                <w:rFonts w:ascii="仿宋_GB2312" w:hAnsi="仿宋_GB2312" w:cs="仿宋_GB2312"/>
                <w:b/>
                <w:bCs/>
                <w:sz w:val="21"/>
                <w:szCs w:val="21"/>
                <w:highlight w:val="none"/>
              </w:rPr>
            </w:pPr>
          </w:p>
        </w:tc>
        <w:tc>
          <w:tcPr>
            <w:tcW w:w="661" w:type="pct"/>
            <w:vMerge w:val="continue"/>
            <w:shd w:val="clear" w:color="auto" w:fill="auto"/>
            <w:vAlign w:val="center"/>
          </w:tcPr>
          <w:p w14:paraId="71909121">
            <w:pPr>
              <w:jc w:val="center"/>
              <w:rPr>
                <w:rFonts w:ascii="仿宋_GB2312" w:hAnsi="仿宋_GB2312" w:cs="仿宋_GB2312"/>
                <w:b/>
                <w:bCs/>
                <w:sz w:val="21"/>
                <w:szCs w:val="21"/>
                <w:highlight w:val="none"/>
              </w:rPr>
            </w:pPr>
          </w:p>
        </w:tc>
        <w:tc>
          <w:tcPr>
            <w:tcW w:w="555" w:type="pct"/>
            <w:shd w:val="clear" w:color="auto" w:fill="auto"/>
            <w:vAlign w:val="center"/>
          </w:tcPr>
          <w:p w14:paraId="521C83C4">
            <w:pPr>
              <w:jc w:val="center"/>
              <w:rPr>
                <w:rFonts w:hint="eastAsia" w:eastAsia="仿宋_GB2312"/>
                <w:sz w:val="21"/>
                <w:szCs w:val="21"/>
                <w:highlight w:val="none"/>
                <w:lang w:eastAsia="zh-CN"/>
              </w:rPr>
            </w:pPr>
            <w:r>
              <w:rPr>
                <w:rFonts w:hint="eastAsia" w:ascii="仿宋_GB2312" w:hAnsi="仿宋_GB2312" w:cs="仿宋_GB2312"/>
                <w:sz w:val="21"/>
                <w:szCs w:val="21"/>
                <w:highlight w:val="none"/>
                <w:lang w:val="en-US" w:eastAsia="zh-CN"/>
              </w:rPr>
              <w:t>赵鹏</w:t>
            </w:r>
          </w:p>
        </w:tc>
        <w:tc>
          <w:tcPr>
            <w:tcW w:w="641" w:type="pct"/>
            <w:shd w:val="clear" w:color="auto" w:fill="auto"/>
            <w:vAlign w:val="center"/>
          </w:tcPr>
          <w:p w14:paraId="2AF7DBE2">
            <w:pPr>
              <w:jc w:val="center"/>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副院长</w:t>
            </w:r>
          </w:p>
        </w:tc>
        <w:tc>
          <w:tcPr>
            <w:tcW w:w="572" w:type="pct"/>
            <w:shd w:val="clear" w:color="auto" w:fill="auto"/>
            <w:vAlign w:val="center"/>
          </w:tcPr>
          <w:p w14:paraId="01BB333D">
            <w:pPr>
              <w:jc w:val="center"/>
              <w:rPr>
                <w:rFonts w:ascii="仿宋_GB2312" w:hAnsi="仿宋_GB2312" w:cs="仿宋_GB2312"/>
                <w:sz w:val="21"/>
                <w:szCs w:val="21"/>
                <w:highlight w:val="none"/>
              </w:rPr>
            </w:pPr>
            <w:r>
              <w:rPr>
                <w:rFonts w:hint="eastAsia" w:ascii="仿宋_GB2312" w:hAnsi="仿宋_GB2312" w:cs="仿宋_GB2312"/>
                <w:sz w:val="21"/>
                <w:szCs w:val="21"/>
                <w:highlight w:val="none"/>
              </w:rPr>
              <w:t>副教授</w:t>
            </w:r>
          </w:p>
        </w:tc>
        <w:tc>
          <w:tcPr>
            <w:tcW w:w="660" w:type="pct"/>
            <w:shd w:val="clear" w:color="auto" w:fill="auto"/>
            <w:vAlign w:val="center"/>
          </w:tcPr>
          <w:p w14:paraId="05A95F3D">
            <w:pPr>
              <w:rPr>
                <w:sz w:val="21"/>
                <w:szCs w:val="21"/>
                <w:highlight w:val="none"/>
              </w:rPr>
            </w:pPr>
            <w:r>
              <w:rPr>
                <w:rFonts w:hint="eastAsia" w:ascii="仿宋_GB2312" w:hAnsi="仿宋_GB2312" w:cs="仿宋_GB2312"/>
                <w:color w:val="000000" w:themeColor="text1"/>
                <w:sz w:val="21"/>
                <w:szCs w:val="21"/>
                <w:highlight w:val="none"/>
                <w:lang w:val="en-US" w:eastAsia="zh-CN"/>
                <w14:textFill>
                  <w14:solidFill>
                    <w14:schemeClr w14:val="tx1"/>
                  </w14:solidFill>
                </w14:textFill>
              </w:rPr>
              <w:t>安徽国际商务职业学院</w:t>
            </w:r>
          </w:p>
        </w:tc>
        <w:tc>
          <w:tcPr>
            <w:tcW w:w="766" w:type="pct"/>
            <w:shd w:val="clear" w:color="auto" w:fill="auto"/>
            <w:vAlign w:val="center"/>
          </w:tcPr>
          <w:p w14:paraId="4DB763DB">
            <w:pPr>
              <w:jc w:val="center"/>
              <w:rPr>
                <w:rFonts w:ascii="仿宋_GB2312" w:hAnsi="仿宋_GB2312" w:cs="仿宋_GB2312"/>
                <w:sz w:val="21"/>
                <w:szCs w:val="21"/>
                <w:highlight w:val="none"/>
              </w:rPr>
            </w:pPr>
            <w:r>
              <w:rPr>
                <w:rFonts w:hint="eastAsia" w:ascii="仿宋_GB2312" w:hAnsi="仿宋_GB2312" w:cs="仿宋_GB2312"/>
                <w:color w:val="000000" w:themeColor="text1"/>
                <w:sz w:val="21"/>
                <w:szCs w:val="21"/>
                <w:highlight w:val="none"/>
                <w14:textFill>
                  <w14:solidFill>
                    <w14:schemeClr w14:val="tx1"/>
                  </w14:solidFill>
                </w14:textFill>
              </w:rPr>
              <w:t>修订调研、执笔</w:t>
            </w:r>
          </w:p>
        </w:tc>
        <w:tc>
          <w:tcPr>
            <w:tcW w:w="672" w:type="pct"/>
            <w:shd w:val="clear" w:color="auto" w:fill="auto"/>
            <w:vAlign w:val="center"/>
          </w:tcPr>
          <w:p w14:paraId="0F7E97FA">
            <w:pPr>
              <w:jc w:val="center"/>
              <w:rPr>
                <w:rFonts w:ascii="仿宋_GB2312" w:hAnsi="仿宋_GB2312" w:cs="仿宋_GB2312"/>
                <w:sz w:val="21"/>
                <w:szCs w:val="21"/>
                <w:highlight w:val="none"/>
              </w:rPr>
            </w:pPr>
            <w:r>
              <w:rPr>
                <w:rFonts w:hint="eastAsia" w:ascii="仿宋_GB2312" w:hAnsi="仿宋_GB2312" w:cs="仿宋_GB2312"/>
                <w:sz w:val="21"/>
                <w:szCs w:val="21"/>
                <w:highlight w:val="none"/>
              </w:rPr>
              <w:t>主执笔人</w:t>
            </w:r>
          </w:p>
        </w:tc>
      </w:tr>
      <w:tr w14:paraId="77108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8" w:type="pct"/>
            <w:vMerge w:val="continue"/>
            <w:vAlign w:val="center"/>
          </w:tcPr>
          <w:p w14:paraId="383BFCF8">
            <w:pPr>
              <w:jc w:val="center"/>
              <w:rPr>
                <w:rFonts w:ascii="仿宋_GB2312" w:hAnsi="仿宋_GB2312" w:cs="仿宋_GB2312"/>
                <w:b/>
                <w:bCs/>
                <w:sz w:val="21"/>
                <w:szCs w:val="21"/>
                <w:highlight w:val="none"/>
              </w:rPr>
            </w:pPr>
          </w:p>
        </w:tc>
        <w:tc>
          <w:tcPr>
            <w:tcW w:w="661" w:type="pct"/>
            <w:vMerge w:val="continue"/>
            <w:shd w:val="clear" w:color="auto" w:fill="auto"/>
            <w:vAlign w:val="center"/>
          </w:tcPr>
          <w:p w14:paraId="706499AC">
            <w:pPr>
              <w:jc w:val="center"/>
              <w:rPr>
                <w:rFonts w:ascii="仿宋_GB2312" w:hAnsi="仿宋_GB2312" w:cs="仿宋_GB2312"/>
                <w:b/>
                <w:bCs/>
                <w:sz w:val="21"/>
                <w:szCs w:val="21"/>
                <w:highlight w:val="none"/>
              </w:rPr>
            </w:pPr>
          </w:p>
        </w:tc>
        <w:tc>
          <w:tcPr>
            <w:tcW w:w="555" w:type="pct"/>
            <w:shd w:val="clear" w:color="auto" w:fill="auto"/>
            <w:vAlign w:val="center"/>
          </w:tcPr>
          <w:p w14:paraId="5E6844AF">
            <w:pPr>
              <w:jc w:val="center"/>
              <w:rPr>
                <w:sz w:val="21"/>
                <w:szCs w:val="21"/>
                <w:highlight w:val="none"/>
              </w:rPr>
            </w:pPr>
            <w:r>
              <w:rPr>
                <w:rFonts w:hint="eastAsia" w:ascii="仿宋_GB2312" w:hAnsi="仿宋_GB2312" w:cs="仿宋_GB2312"/>
                <w:sz w:val="21"/>
                <w:szCs w:val="21"/>
                <w:highlight w:val="none"/>
                <w:lang w:val="en-US" w:eastAsia="zh-CN"/>
              </w:rPr>
              <w:t>田茂凯</w:t>
            </w:r>
          </w:p>
        </w:tc>
        <w:tc>
          <w:tcPr>
            <w:tcW w:w="641" w:type="pct"/>
            <w:shd w:val="clear" w:color="auto" w:fill="auto"/>
            <w:vAlign w:val="center"/>
          </w:tcPr>
          <w:p w14:paraId="611FC850">
            <w:pPr>
              <w:jc w:val="center"/>
              <w:rPr>
                <w:rFonts w:ascii="仿宋_GB2312" w:hAnsi="仿宋_GB2312" w:cs="仿宋_GB2312"/>
                <w:sz w:val="21"/>
                <w:szCs w:val="21"/>
                <w:highlight w:val="none"/>
              </w:rPr>
            </w:pPr>
            <w:r>
              <w:rPr>
                <w:rFonts w:hint="eastAsia" w:ascii="仿宋_GB2312" w:hAnsi="仿宋_GB2312" w:cs="仿宋_GB2312"/>
                <w:sz w:val="21"/>
                <w:szCs w:val="21"/>
                <w:highlight w:val="none"/>
              </w:rPr>
              <w:t>教研室主任</w:t>
            </w:r>
          </w:p>
        </w:tc>
        <w:tc>
          <w:tcPr>
            <w:tcW w:w="572" w:type="pct"/>
            <w:shd w:val="clear" w:color="auto" w:fill="auto"/>
            <w:vAlign w:val="center"/>
          </w:tcPr>
          <w:p w14:paraId="1B547DA1">
            <w:pPr>
              <w:jc w:val="center"/>
              <w:rPr>
                <w:rFonts w:ascii="仿宋_GB2312" w:hAnsi="仿宋_GB2312" w:cs="仿宋_GB2312"/>
                <w:sz w:val="21"/>
                <w:szCs w:val="21"/>
                <w:highlight w:val="none"/>
              </w:rPr>
            </w:pPr>
            <w:r>
              <w:rPr>
                <w:rFonts w:hint="eastAsia" w:ascii="仿宋_GB2312" w:hAnsi="仿宋_GB2312" w:cs="仿宋_GB2312"/>
                <w:sz w:val="21"/>
                <w:szCs w:val="21"/>
                <w:highlight w:val="none"/>
              </w:rPr>
              <w:t>讲师</w:t>
            </w:r>
          </w:p>
        </w:tc>
        <w:tc>
          <w:tcPr>
            <w:tcW w:w="660" w:type="pct"/>
            <w:shd w:val="clear" w:color="auto" w:fill="auto"/>
            <w:vAlign w:val="center"/>
          </w:tcPr>
          <w:p w14:paraId="136457CB">
            <w:pPr>
              <w:rPr>
                <w:sz w:val="21"/>
                <w:szCs w:val="21"/>
                <w:highlight w:val="none"/>
              </w:rPr>
            </w:pPr>
            <w:r>
              <w:rPr>
                <w:rFonts w:hint="eastAsia" w:ascii="仿宋_GB2312" w:hAnsi="仿宋_GB2312" w:cs="仿宋_GB2312"/>
                <w:color w:val="000000" w:themeColor="text1"/>
                <w:sz w:val="21"/>
                <w:szCs w:val="21"/>
                <w:highlight w:val="none"/>
                <w:lang w:val="en-US" w:eastAsia="zh-CN"/>
                <w14:textFill>
                  <w14:solidFill>
                    <w14:schemeClr w14:val="tx1"/>
                  </w14:solidFill>
                </w14:textFill>
              </w:rPr>
              <w:t>安徽国际商务职业学院</w:t>
            </w:r>
          </w:p>
        </w:tc>
        <w:tc>
          <w:tcPr>
            <w:tcW w:w="766" w:type="pct"/>
            <w:shd w:val="clear" w:color="auto" w:fill="auto"/>
            <w:vAlign w:val="center"/>
          </w:tcPr>
          <w:p w14:paraId="0B88B31B">
            <w:pPr>
              <w:snapToGrid w:val="0"/>
              <w:jc w:val="center"/>
              <w:rPr>
                <w:rFonts w:ascii="仿宋_GB2312" w:hAnsi="仿宋_GB2312" w:cs="仿宋_GB2312"/>
                <w:sz w:val="21"/>
                <w:szCs w:val="21"/>
                <w:highlight w:val="none"/>
              </w:rPr>
            </w:pPr>
            <w:r>
              <w:rPr>
                <w:rFonts w:hint="eastAsia" w:ascii="仿宋_GB2312" w:hAnsi="仿宋_GB2312" w:cs="仿宋_GB2312"/>
                <w:sz w:val="21"/>
                <w:szCs w:val="21"/>
                <w:highlight w:val="none"/>
              </w:rPr>
              <w:t>课程体系、课程思政建设</w:t>
            </w:r>
          </w:p>
        </w:tc>
        <w:tc>
          <w:tcPr>
            <w:tcW w:w="672" w:type="pct"/>
            <w:shd w:val="clear" w:color="auto" w:fill="auto"/>
            <w:vAlign w:val="center"/>
          </w:tcPr>
          <w:p w14:paraId="164BDAAB">
            <w:pPr>
              <w:jc w:val="center"/>
              <w:rPr>
                <w:rFonts w:ascii="仿宋_GB2312" w:hAnsi="仿宋_GB2312" w:cs="仿宋_GB2312"/>
                <w:sz w:val="21"/>
                <w:szCs w:val="21"/>
                <w:highlight w:val="none"/>
              </w:rPr>
            </w:pPr>
          </w:p>
        </w:tc>
      </w:tr>
      <w:tr w14:paraId="4AE5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8" w:type="pct"/>
            <w:vMerge w:val="continue"/>
            <w:vAlign w:val="center"/>
          </w:tcPr>
          <w:p w14:paraId="50FEA373">
            <w:pPr>
              <w:jc w:val="center"/>
              <w:rPr>
                <w:rFonts w:ascii="仿宋_GB2312" w:hAnsi="仿宋_GB2312" w:cs="仿宋_GB2312"/>
                <w:b/>
                <w:bCs/>
                <w:sz w:val="21"/>
                <w:szCs w:val="21"/>
                <w:highlight w:val="none"/>
              </w:rPr>
            </w:pPr>
          </w:p>
        </w:tc>
        <w:tc>
          <w:tcPr>
            <w:tcW w:w="661" w:type="pct"/>
            <w:vMerge w:val="continue"/>
            <w:shd w:val="clear" w:color="auto" w:fill="auto"/>
            <w:vAlign w:val="center"/>
          </w:tcPr>
          <w:p w14:paraId="53D15A41">
            <w:pPr>
              <w:jc w:val="center"/>
              <w:rPr>
                <w:rFonts w:ascii="仿宋_GB2312" w:hAnsi="仿宋_GB2312" w:cs="仿宋_GB2312"/>
                <w:b/>
                <w:bCs/>
                <w:sz w:val="21"/>
                <w:szCs w:val="21"/>
                <w:highlight w:val="none"/>
              </w:rPr>
            </w:pPr>
          </w:p>
        </w:tc>
        <w:tc>
          <w:tcPr>
            <w:tcW w:w="555" w:type="pct"/>
            <w:shd w:val="clear" w:color="auto" w:fill="auto"/>
            <w:vAlign w:val="center"/>
          </w:tcPr>
          <w:p w14:paraId="21804389">
            <w:pPr>
              <w:jc w:val="center"/>
              <w:rPr>
                <w:rFonts w:hint="eastAsia" w:eastAsia="仿宋_GB2312"/>
                <w:sz w:val="21"/>
                <w:szCs w:val="21"/>
                <w:highlight w:val="none"/>
                <w:lang w:val="en-US" w:eastAsia="zh-CN"/>
              </w:rPr>
            </w:pPr>
            <w:r>
              <w:rPr>
                <w:rFonts w:hint="eastAsia"/>
                <w:sz w:val="21"/>
                <w:szCs w:val="21"/>
                <w:highlight w:val="none"/>
                <w:lang w:val="en-US" w:eastAsia="zh-CN"/>
              </w:rPr>
              <w:t>唐正好</w:t>
            </w:r>
          </w:p>
        </w:tc>
        <w:tc>
          <w:tcPr>
            <w:tcW w:w="641" w:type="pct"/>
            <w:shd w:val="clear" w:color="auto" w:fill="auto"/>
            <w:vAlign w:val="center"/>
          </w:tcPr>
          <w:p w14:paraId="50ABA307">
            <w:pPr>
              <w:jc w:val="center"/>
              <w:rPr>
                <w:rFonts w:ascii="仿宋_GB2312" w:hAnsi="仿宋_GB2312" w:cs="仿宋_GB2312"/>
                <w:sz w:val="21"/>
                <w:szCs w:val="21"/>
                <w:highlight w:val="none"/>
              </w:rPr>
            </w:pPr>
            <w:r>
              <w:rPr>
                <w:rFonts w:hint="eastAsia" w:ascii="仿宋_GB2312" w:hAnsi="仿宋_GB2312" w:cs="仿宋_GB2312"/>
                <w:sz w:val="21"/>
                <w:szCs w:val="21"/>
                <w:highlight w:val="none"/>
              </w:rPr>
              <w:t>教研室副主任</w:t>
            </w:r>
          </w:p>
        </w:tc>
        <w:tc>
          <w:tcPr>
            <w:tcW w:w="572" w:type="pct"/>
            <w:shd w:val="clear" w:color="auto" w:fill="auto"/>
            <w:vAlign w:val="center"/>
          </w:tcPr>
          <w:p w14:paraId="639A2F96">
            <w:pPr>
              <w:jc w:val="center"/>
              <w:rPr>
                <w:rFonts w:hint="eastAsia" w:ascii="仿宋_GB2312" w:hAnsi="仿宋_GB2312" w:eastAsia="仿宋_GB2312" w:cs="仿宋_GB2312"/>
                <w:sz w:val="21"/>
                <w:szCs w:val="21"/>
                <w:highlight w:val="none"/>
                <w:lang w:eastAsia="zh-CN"/>
              </w:rPr>
            </w:pPr>
            <w:r>
              <w:rPr>
                <w:rFonts w:hint="eastAsia" w:ascii="仿宋_GB2312" w:hAnsi="仿宋_GB2312" w:cs="仿宋_GB2312"/>
                <w:sz w:val="21"/>
                <w:szCs w:val="21"/>
                <w:highlight w:val="none"/>
                <w:lang w:val="en-US" w:eastAsia="zh-CN"/>
              </w:rPr>
              <w:t>教员</w:t>
            </w:r>
          </w:p>
        </w:tc>
        <w:tc>
          <w:tcPr>
            <w:tcW w:w="660" w:type="pct"/>
            <w:shd w:val="clear" w:color="auto" w:fill="auto"/>
            <w:vAlign w:val="center"/>
          </w:tcPr>
          <w:p w14:paraId="2D208AD9">
            <w:pPr>
              <w:rPr>
                <w:sz w:val="21"/>
                <w:szCs w:val="21"/>
                <w:highlight w:val="none"/>
              </w:rPr>
            </w:pPr>
            <w:r>
              <w:rPr>
                <w:rFonts w:hint="eastAsia" w:ascii="仿宋_GB2312" w:hAnsi="仿宋_GB2312" w:cs="仿宋_GB2312"/>
                <w:color w:val="000000" w:themeColor="text1"/>
                <w:sz w:val="21"/>
                <w:szCs w:val="21"/>
                <w:highlight w:val="none"/>
                <w:lang w:val="en-US" w:eastAsia="zh-CN"/>
                <w14:textFill>
                  <w14:solidFill>
                    <w14:schemeClr w14:val="tx1"/>
                  </w14:solidFill>
                </w14:textFill>
              </w:rPr>
              <w:t>安徽国际商务职业学院</w:t>
            </w:r>
          </w:p>
        </w:tc>
        <w:tc>
          <w:tcPr>
            <w:tcW w:w="766" w:type="pct"/>
            <w:shd w:val="clear" w:color="auto" w:fill="auto"/>
            <w:vAlign w:val="center"/>
          </w:tcPr>
          <w:p w14:paraId="547B7C40">
            <w:pPr>
              <w:snapToGrid w:val="0"/>
              <w:jc w:val="center"/>
              <w:rPr>
                <w:rFonts w:ascii="仿宋_GB2312" w:hAnsi="仿宋_GB2312" w:cs="仿宋_GB2312"/>
                <w:sz w:val="21"/>
                <w:szCs w:val="21"/>
                <w:highlight w:val="none"/>
              </w:rPr>
            </w:pPr>
            <w:r>
              <w:rPr>
                <w:rFonts w:hint="eastAsia" w:ascii="仿宋_GB2312" w:hAnsi="仿宋_GB2312" w:cs="仿宋_GB2312"/>
                <w:sz w:val="21"/>
                <w:szCs w:val="21"/>
                <w:highlight w:val="none"/>
              </w:rPr>
              <w:t>课程体系、课程思政建设</w:t>
            </w:r>
          </w:p>
        </w:tc>
        <w:tc>
          <w:tcPr>
            <w:tcW w:w="672" w:type="pct"/>
            <w:shd w:val="clear" w:color="auto" w:fill="auto"/>
            <w:vAlign w:val="center"/>
          </w:tcPr>
          <w:p w14:paraId="205A7FCA">
            <w:pPr>
              <w:jc w:val="center"/>
              <w:rPr>
                <w:rFonts w:ascii="仿宋_GB2312" w:hAnsi="仿宋_GB2312" w:cs="仿宋_GB2312"/>
                <w:sz w:val="21"/>
                <w:szCs w:val="21"/>
                <w:highlight w:val="none"/>
              </w:rPr>
            </w:pPr>
          </w:p>
        </w:tc>
      </w:tr>
      <w:tr w14:paraId="405DF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8" w:type="pct"/>
            <w:vMerge w:val="continue"/>
            <w:vAlign w:val="center"/>
          </w:tcPr>
          <w:p w14:paraId="544AA2FF">
            <w:pPr>
              <w:jc w:val="center"/>
              <w:rPr>
                <w:rFonts w:ascii="仿宋_GB2312" w:hAnsi="仿宋_GB2312" w:cs="仿宋_GB2312"/>
                <w:b/>
                <w:bCs/>
                <w:sz w:val="21"/>
                <w:szCs w:val="21"/>
                <w:highlight w:val="none"/>
              </w:rPr>
            </w:pPr>
          </w:p>
        </w:tc>
        <w:tc>
          <w:tcPr>
            <w:tcW w:w="661" w:type="pct"/>
            <w:vMerge w:val="continue"/>
            <w:shd w:val="clear" w:color="auto" w:fill="auto"/>
            <w:vAlign w:val="center"/>
          </w:tcPr>
          <w:p w14:paraId="4E5BEC59">
            <w:pPr>
              <w:jc w:val="center"/>
              <w:rPr>
                <w:rFonts w:ascii="仿宋_GB2312" w:hAnsi="仿宋_GB2312" w:cs="仿宋_GB2312"/>
                <w:b/>
                <w:bCs/>
                <w:sz w:val="21"/>
                <w:szCs w:val="21"/>
                <w:highlight w:val="none"/>
              </w:rPr>
            </w:pPr>
          </w:p>
        </w:tc>
        <w:tc>
          <w:tcPr>
            <w:tcW w:w="555" w:type="pct"/>
            <w:vAlign w:val="center"/>
          </w:tcPr>
          <w:p w14:paraId="3786F8C3">
            <w:pPr>
              <w:jc w:val="center"/>
              <w:rPr>
                <w:rFonts w:hint="eastAsia" w:eastAsia="仿宋_GB2312"/>
                <w:sz w:val="21"/>
                <w:szCs w:val="21"/>
                <w:highlight w:val="none"/>
                <w:lang w:eastAsia="zh-CN"/>
              </w:rPr>
            </w:pPr>
            <w:r>
              <w:rPr>
                <w:rFonts w:hint="eastAsia" w:ascii="仿宋_GB2312" w:hAnsi="仿宋_GB2312" w:cs="仿宋_GB2312"/>
                <w:sz w:val="21"/>
                <w:szCs w:val="21"/>
                <w:highlight w:val="none"/>
                <w:lang w:val="en-US" w:eastAsia="zh-CN"/>
              </w:rPr>
              <w:t>马洁</w:t>
            </w:r>
          </w:p>
        </w:tc>
        <w:tc>
          <w:tcPr>
            <w:tcW w:w="641" w:type="pct"/>
            <w:vAlign w:val="center"/>
          </w:tcPr>
          <w:p w14:paraId="50020FEE">
            <w:pPr>
              <w:jc w:val="center"/>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无</w:t>
            </w:r>
          </w:p>
        </w:tc>
        <w:tc>
          <w:tcPr>
            <w:tcW w:w="572" w:type="pct"/>
            <w:vAlign w:val="center"/>
          </w:tcPr>
          <w:p w14:paraId="7A29F50D">
            <w:pPr>
              <w:jc w:val="center"/>
              <w:rPr>
                <w:rFonts w:ascii="仿宋_GB2312" w:hAnsi="仿宋_GB2312" w:cs="仿宋_GB2312"/>
                <w:sz w:val="21"/>
                <w:szCs w:val="21"/>
                <w:highlight w:val="none"/>
              </w:rPr>
            </w:pPr>
            <w:r>
              <w:rPr>
                <w:rFonts w:hint="eastAsia" w:ascii="仿宋_GB2312" w:hAnsi="仿宋_GB2312" w:cs="仿宋_GB2312"/>
                <w:sz w:val="21"/>
                <w:szCs w:val="21"/>
                <w:highlight w:val="none"/>
              </w:rPr>
              <w:t>讲师</w:t>
            </w:r>
          </w:p>
        </w:tc>
        <w:tc>
          <w:tcPr>
            <w:tcW w:w="660" w:type="pct"/>
            <w:shd w:val="clear" w:color="auto" w:fill="auto"/>
            <w:vAlign w:val="center"/>
          </w:tcPr>
          <w:p w14:paraId="36AADA86">
            <w:pPr>
              <w:rPr>
                <w:sz w:val="21"/>
                <w:szCs w:val="21"/>
                <w:highlight w:val="none"/>
              </w:rPr>
            </w:pPr>
            <w:r>
              <w:rPr>
                <w:rFonts w:hint="eastAsia" w:ascii="仿宋_GB2312" w:hAnsi="仿宋_GB2312" w:cs="仿宋_GB2312"/>
                <w:color w:val="000000" w:themeColor="text1"/>
                <w:sz w:val="21"/>
                <w:szCs w:val="21"/>
                <w:highlight w:val="none"/>
                <w:lang w:val="en-US" w:eastAsia="zh-CN"/>
                <w14:textFill>
                  <w14:solidFill>
                    <w14:schemeClr w14:val="tx1"/>
                  </w14:solidFill>
                </w14:textFill>
              </w:rPr>
              <w:t>安徽国际商务职业学院</w:t>
            </w:r>
          </w:p>
        </w:tc>
        <w:tc>
          <w:tcPr>
            <w:tcW w:w="766" w:type="pct"/>
            <w:shd w:val="clear" w:color="auto" w:fill="auto"/>
            <w:vAlign w:val="center"/>
          </w:tcPr>
          <w:p w14:paraId="538E289C">
            <w:pPr>
              <w:snapToGrid w:val="0"/>
              <w:jc w:val="center"/>
              <w:rPr>
                <w:rFonts w:ascii="仿宋_GB2312" w:hAnsi="仿宋_GB2312" w:cs="仿宋_GB2312"/>
                <w:sz w:val="21"/>
                <w:szCs w:val="21"/>
                <w:highlight w:val="none"/>
              </w:rPr>
            </w:pPr>
            <w:r>
              <w:rPr>
                <w:rFonts w:hint="eastAsia" w:ascii="仿宋_GB2312" w:hAnsi="仿宋_GB2312" w:cs="仿宋_GB2312"/>
                <w:sz w:val="21"/>
                <w:szCs w:val="21"/>
                <w:highlight w:val="none"/>
              </w:rPr>
              <w:t>课程体系、课程思政建设</w:t>
            </w:r>
          </w:p>
        </w:tc>
        <w:tc>
          <w:tcPr>
            <w:tcW w:w="672" w:type="pct"/>
            <w:vAlign w:val="center"/>
          </w:tcPr>
          <w:p w14:paraId="0FB8D206">
            <w:pPr>
              <w:jc w:val="center"/>
              <w:rPr>
                <w:rFonts w:ascii="仿宋_GB2312" w:hAnsi="仿宋_GB2312" w:cs="仿宋_GB2312"/>
                <w:sz w:val="21"/>
                <w:szCs w:val="21"/>
                <w:highlight w:val="none"/>
              </w:rPr>
            </w:pPr>
          </w:p>
        </w:tc>
      </w:tr>
      <w:tr w14:paraId="74F35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8" w:type="pct"/>
            <w:vMerge w:val="continue"/>
            <w:vAlign w:val="center"/>
          </w:tcPr>
          <w:p w14:paraId="6F2C9C18">
            <w:pPr>
              <w:jc w:val="center"/>
              <w:rPr>
                <w:rFonts w:ascii="仿宋_GB2312" w:hAnsi="仿宋_GB2312" w:cs="仿宋_GB2312"/>
                <w:b/>
                <w:bCs/>
                <w:sz w:val="21"/>
                <w:szCs w:val="21"/>
                <w:highlight w:val="none"/>
              </w:rPr>
            </w:pPr>
          </w:p>
        </w:tc>
        <w:tc>
          <w:tcPr>
            <w:tcW w:w="661" w:type="pct"/>
            <w:vMerge w:val="restart"/>
            <w:shd w:val="clear" w:color="auto" w:fill="auto"/>
            <w:vAlign w:val="center"/>
          </w:tcPr>
          <w:p w14:paraId="1D6D3A22">
            <w:pPr>
              <w:jc w:val="center"/>
              <w:rPr>
                <w:rFonts w:ascii="仿宋_GB2312" w:hAnsi="仿宋_GB2312" w:cs="仿宋_GB2312"/>
                <w:b/>
                <w:bCs/>
                <w:sz w:val="21"/>
                <w:szCs w:val="21"/>
                <w:highlight w:val="none"/>
              </w:rPr>
            </w:pPr>
            <w:r>
              <w:rPr>
                <w:rFonts w:hint="eastAsia" w:ascii="仿宋_GB2312" w:hAnsi="仿宋_GB2312" w:cs="仿宋_GB2312"/>
                <w:b/>
                <w:bCs/>
                <w:sz w:val="21"/>
                <w:szCs w:val="21"/>
                <w:highlight w:val="none"/>
              </w:rPr>
              <w:t>行业企业专家</w:t>
            </w:r>
          </w:p>
        </w:tc>
        <w:tc>
          <w:tcPr>
            <w:tcW w:w="555" w:type="pct"/>
            <w:shd w:val="clear" w:color="auto" w:fill="auto"/>
            <w:vAlign w:val="center"/>
          </w:tcPr>
          <w:p w14:paraId="025BF61C">
            <w:pPr>
              <w:jc w:val="center"/>
              <w:rPr>
                <w:rFonts w:hint="default" w:eastAsia="仿宋_GB2312"/>
                <w:sz w:val="21"/>
                <w:szCs w:val="21"/>
                <w:highlight w:val="none"/>
                <w:lang w:val="en-US" w:eastAsia="zh-CN"/>
              </w:rPr>
            </w:pPr>
            <w:r>
              <w:rPr>
                <w:rFonts w:hint="eastAsia" w:ascii="仿宋_GB2312" w:hAnsi="仿宋_GB2312" w:cs="仿宋_GB2312"/>
                <w:sz w:val="21"/>
                <w:szCs w:val="21"/>
                <w:highlight w:val="none"/>
                <w:lang w:val="en-US" w:eastAsia="zh-CN"/>
              </w:rPr>
              <w:t>方宝国</w:t>
            </w:r>
          </w:p>
        </w:tc>
        <w:tc>
          <w:tcPr>
            <w:tcW w:w="641" w:type="pct"/>
            <w:shd w:val="clear" w:color="auto" w:fill="auto"/>
            <w:vAlign w:val="center"/>
          </w:tcPr>
          <w:p w14:paraId="1CFD35CA">
            <w:pPr>
              <w:snapToGrid w:val="0"/>
              <w:jc w:val="center"/>
              <w:rPr>
                <w:rFonts w:hint="default"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总经理</w:t>
            </w:r>
          </w:p>
        </w:tc>
        <w:tc>
          <w:tcPr>
            <w:tcW w:w="572" w:type="pct"/>
            <w:shd w:val="clear" w:color="auto" w:fill="auto"/>
            <w:vAlign w:val="center"/>
          </w:tcPr>
          <w:p w14:paraId="390540E8">
            <w:pPr>
              <w:snapToGrid w:val="0"/>
              <w:jc w:val="center"/>
              <w:rPr>
                <w:rFonts w:ascii="仿宋_GB2312" w:hAnsi="仿宋_GB2312" w:cs="仿宋_GB2312"/>
                <w:sz w:val="21"/>
                <w:szCs w:val="21"/>
                <w:highlight w:val="none"/>
              </w:rPr>
            </w:pPr>
            <w:r>
              <w:rPr>
                <w:rFonts w:hint="eastAsia" w:ascii="仿宋_GB2312" w:hAnsi="仿宋_GB2312" w:cs="仿宋_GB2312"/>
                <w:sz w:val="21"/>
                <w:szCs w:val="21"/>
                <w:highlight w:val="none"/>
              </w:rPr>
              <w:t>产业教授</w:t>
            </w:r>
          </w:p>
        </w:tc>
        <w:tc>
          <w:tcPr>
            <w:tcW w:w="660" w:type="pct"/>
            <w:shd w:val="clear" w:color="auto" w:fill="auto"/>
            <w:vAlign w:val="center"/>
          </w:tcPr>
          <w:p w14:paraId="1997C971">
            <w:pPr>
              <w:snapToGrid w:val="0"/>
              <w:jc w:val="center"/>
              <w:rPr>
                <w:rFonts w:ascii="仿宋_GB2312" w:hAnsi="仿宋_GB2312" w:cs="仿宋_GB2312"/>
                <w:sz w:val="21"/>
                <w:szCs w:val="21"/>
                <w:highlight w:val="none"/>
              </w:rPr>
            </w:pPr>
            <w:r>
              <w:rPr>
                <w:rFonts w:hint="eastAsia" w:ascii="仿宋_GB2312" w:hAnsi="仿宋_GB2312" w:cs="仿宋_GB2312"/>
                <w:sz w:val="21"/>
                <w:szCs w:val="21"/>
                <w:highlight w:val="none"/>
                <w:lang w:val="en-US" w:eastAsia="zh-CN"/>
              </w:rPr>
              <w:t>安徽省充电站</w:t>
            </w:r>
            <w:r>
              <w:rPr>
                <w:rFonts w:hint="eastAsia" w:ascii="仿宋_GB2312" w:hAnsi="仿宋_GB2312" w:cs="仿宋_GB2312"/>
                <w:sz w:val="21"/>
                <w:szCs w:val="21"/>
                <w:highlight w:val="none"/>
              </w:rPr>
              <w:t>有限责任公司</w:t>
            </w:r>
          </w:p>
        </w:tc>
        <w:tc>
          <w:tcPr>
            <w:tcW w:w="766" w:type="pct"/>
            <w:shd w:val="clear" w:color="auto" w:fill="auto"/>
            <w:vAlign w:val="center"/>
          </w:tcPr>
          <w:p w14:paraId="6F17C0A0">
            <w:pPr>
              <w:snapToGrid w:val="0"/>
              <w:rPr>
                <w:rFonts w:ascii="仿宋_GB2312" w:hAnsi="仿宋_GB2312" w:cs="仿宋_GB2312"/>
                <w:sz w:val="21"/>
                <w:szCs w:val="21"/>
                <w:highlight w:val="none"/>
              </w:rPr>
            </w:pPr>
            <w:r>
              <w:rPr>
                <w:rFonts w:hint="eastAsia" w:ascii="仿宋_GB2312" w:hAnsi="仿宋_GB2312" w:cs="仿宋_GB2312"/>
                <w:sz w:val="21"/>
                <w:szCs w:val="21"/>
                <w:highlight w:val="none"/>
              </w:rPr>
              <w:t>修订调研、培养规格研讨、方案执笔</w:t>
            </w:r>
          </w:p>
        </w:tc>
        <w:tc>
          <w:tcPr>
            <w:tcW w:w="672" w:type="pct"/>
            <w:shd w:val="clear" w:color="auto" w:fill="auto"/>
            <w:vAlign w:val="center"/>
          </w:tcPr>
          <w:p w14:paraId="7D45AC63">
            <w:pPr>
              <w:jc w:val="center"/>
              <w:rPr>
                <w:rFonts w:ascii="仿宋_GB2312" w:hAnsi="仿宋_GB2312" w:cs="仿宋_GB2312"/>
                <w:sz w:val="21"/>
                <w:szCs w:val="21"/>
                <w:highlight w:val="none"/>
              </w:rPr>
            </w:pPr>
          </w:p>
        </w:tc>
      </w:tr>
      <w:tr w14:paraId="27F4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68" w:type="pct"/>
            <w:vMerge w:val="continue"/>
            <w:vAlign w:val="center"/>
          </w:tcPr>
          <w:p w14:paraId="35A9CD1C">
            <w:pPr>
              <w:jc w:val="center"/>
              <w:rPr>
                <w:rFonts w:ascii="仿宋_GB2312" w:hAnsi="仿宋_GB2312" w:cs="仿宋_GB2312"/>
                <w:b/>
                <w:bCs/>
                <w:sz w:val="21"/>
                <w:szCs w:val="21"/>
                <w:highlight w:val="none"/>
              </w:rPr>
            </w:pPr>
          </w:p>
        </w:tc>
        <w:tc>
          <w:tcPr>
            <w:tcW w:w="661" w:type="pct"/>
            <w:vMerge w:val="continue"/>
            <w:shd w:val="clear" w:color="auto" w:fill="auto"/>
            <w:vAlign w:val="center"/>
          </w:tcPr>
          <w:p w14:paraId="4E2E835D">
            <w:pPr>
              <w:jc w:val="center"/>
              <w:rPr>
                <w:rFonts w:ascii="仿宋_GB2312" w:hAnsi="仿宋_GB2312" w:cs="仿宋_GB2312"/>
                <w:b/>
                <w:bCs/>
                <w:sz w:val="21"/>
                <w:szCs w:val="21"/>
                <w:highlight w:val="none"/>
              </w:rPr>
            </w:pPr>
          </w:p>
        </w:tc>
        <w:tc>
          <w:tcPr>
            <w:tcW w:w="555" w:type="pct"/>
            <w:shd w:val="clear" w:color="auto" w:fill="auto"/>
            <w:vAlign w:val="center"/>
          </w:tcPr>
          <w:p w14:paraId="6972589B">
            <w:pPr>
              <w:jc w:val="center"/>
              <w:rPr>
                <w:rFonts w:hint="default" w:eastAsia="仿宋_GB2312"/>
                <w:sz w:val="21"/>
                <w:szCs w:val="21"/>
                <w:highlight w:val="none"/>
                <w:lang w:val="en-US" w:eastAsia="zh-CN"/>
              </w:rPr>
            </w:pPr>
            <w:r>
              <w:rPr>
                <w:rFonts w:hint="eastAsia" w:ascii="仿宋_GB2312" w:hAnsi="仿宋_GB2312" w:cs="仿宋_GB2312"/>
                <w:sz w:val="21"/>
                <w:szCs w:val="21"/>
                <w:highlight w:val="none"/>
                <w:lang w:val="en-US" w:eastAsia="zh-CN"/>
              </w:rPr>
              <w:t>许龙</w:t>
            </w:r>
          </w:p>
        </w:tc>
        <w:tc>
          <w:tcPr>
            <w:tcW w:w="641" w:type="pct"/>
            <w:shd w:val="clear" w:color="auto" w:fill="auto"/>
            <w:vAlign w:val="center"/>
          </w:tcPr>
          <w:p w14:paraId="62BE19A2">
            <w:pPr>
              <w:snapToGrid w:val="0"/>
              <w:jc w:val="center"/>
              <w:rPr>
                <w:rFonts w:hint="default"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资深运维总监</w:t>
            </w:r>
          </w:p>
        </w:tc>
        <w:tc>
          <w:tcPr>
            <w:tcW w:w="572" w:type="pct"/>
            <w:shd w:val="clear" w:color="auto" w:fill="auto"/>
            <w:vAlign w:val="center"/>
          </w:tcPr>
          <w:p w14:paraId="31EA4833">
            <w:pPr>
              <w:snapToGrid w:val="0"/>
              <w:jc w:val="center"/>
              <w:rPr>
                <w:rFonts w:hint="eastAsia" w:ascii="仿宋_GB2312" w:hAnsi="仿宋_GB2312" w:eastAsia="仿宋_GB2312" w:cs="仿宋_GB2312"/>
                <w:sz w:val="21"/>
                <w:szCs w:val="21"/>
                <w:highlight w:val="none"/>
                <w:lang w:val="en-US" w:eastAsia="zh-CN"/>
              </w:rPr>
            </w:pPr>
            <w:r>
              <w:rPr>
                <w:rFonts w:hint="eastAsia" w:ascii="仿宋_GB2312" w:hAnsi="仿宋_GB2312" w:cs="仿宋_GB2312"/>
                <w:sz w:val="21"/>
                <w:szCs w:val="21"/>
                <w:highlight w:val="none"/>
                <w:lang w:val="en-US" w:eastAsia="zh-CN"/>
              </w:rPr>
              <w:t>高级技师</w:t>
            </w:r>
          </w:p>
        </w:tc>
        <w:tc>
          <w:tcPr>
            <w:tcW w:w="660" w:type="pct"/>
            <w:shd w:val="clear" w:color="auto" w:fill="auto"/>
            <w:vAlign w:val="center"/>
          </w:tcPr>
          <w:p w14:paraId="03E09908">
            <w:pPr>
              <w:snapToGrid w:val="0"/>
              <w:jc w:val="center"/>
              <w:rPr>
                <w:rFonts w:ascii="仿宋_GB2312" w:hAnsi="仿宋_GB2312" w:cs="仿宋_GB2312"/>
                <w:sz w:val="21"/>
                <w:szCs w:val="21"/>
                <w:highlight w:val="none"/>
              </w:rPr>
            </w:pPr>
            <w:r>
              <w:rPr>
                <w:rFonts w:hint="eastAsia" w:ascii="仿宋_GB2312" w:hAnsi="仿宋_GB2312" w:cs="仿宋_GB2312"/>
                <w:sz w:val="21"/>
                <w:szCs w:val="21"/>
                <w:highlight w:val="none"/>
              </w:rPr>
              <w:t>*</w:t>
            </w:r>
            <w:r>
              <w:rPr>
                <w:rFonts w:ascii="仿宋_GB2312" w:hAnsi="仿宋_GB2312" w:cs="仿宋_GB2312"/>
                <w:sz w:val="21"/>
                <w:szCs w:val="21"/>
                <w:highlight w:val="none"/>
              </w:rPr>
              <w:t>****</w:t>
            </w:r>
            <w:r>
              <w:rPr>
                <w:rFonts w:hint="eastAsia" w:ascii="仿宋_GB2312" w:hAnsi="仿宋_GB2312" w:cs="仿宋_GB2312"/>
                <w:sz w:val="21"/>
                <w:szCs w:val="21"/>
                <w:highlight w:val="none"/>
                <w:lang w:val="en-US" w:eastAsia="zh-CN"/>
              </w:rPr>
              <w:t>充换电</w:t>
            </w:r>
            <w:r>
              <w:rPr>
                <w:rFonts w:hint="eastAsia" w:ascii="仿宋_GB2312" w:hAnsi="仿宋_GB2312" w:cs="仿宋_GB2312"/>
                <w:sz w:val="21"/>
                <w:szCs w:val="21"/>
                <w:highlight w:val="none"/>
              </w:rPr>
              <w:t>有限公司</w:t>
            </w:r>
          </w:p>
        </w:tc>
        <w:tc>
          <w:tcPr>
            <w:tcW w:w="766" w:type="pct"/>
            <w:shd w:val="clear" w:color="auto" w:fill="auto"/>
            <w:vAlign w:val="center"/>
          </w:tcPr>
          <w:p w14:paraId="5A5B8CD7">
            <w:pPr>
              <w:snapToGrid w:val="0"/>
              <w:jc w:val="center"/>
              <w:rPr>
                <w:rFonts w:ascii="仿宋_GB2312" w:hAnsi="仿宋_GB2312" w:cs="仿宋_GB2312"/>
                <w:sz w:val="21"/>
                <w:szCs w:val="21"/>
                <w:highlight w:val="none"/>
              </w:rPr>
            </w:pPr>
            <w:r>
              <w:rPr>
                <w:rFonts w:hint="eastAsia" w:ascii="仿宋_GB2312" w:hAnsi="仿宋_GB2312" w:cs="仿宋_GB2312"/>
                <w:sz w:val="21"/>
                <w:szCs w:val="21"/>
                <w:highlight w:val="none"/>
              </w:rPr>
              <w:t>人才需求、人才培养规格研讨</w:t>
            </w:r>
          </w:p>
        </w:tc>
        <w:tc>
          <w:tcPr>
            <w:tcW w:w="672" w:type="pct"/>
            <w:shd w:val="clear" w:color="auto" w:fill="auto"/>
            <w:vAlign w:val="center"/>
          </w:tcPr>
          <w:p w14:paraId="0536F225">
            <w:pPr>
              <w:jc w:val="center"/>
              <w:rPr>
                <w:rFonts w:ascii="仿宋_GB2312" w:hAnsi="仿宋_GB2312" w:cs="仿宋_GB2312"/>
                <w:sz w:val="21"/>
                <w:szCs w:val="21"/>
                <w:highlight w:val="none"/>
              </w:rPr>
            </w:pPr>
          </w:p>
        </w:tc>
      </w:tr>
    </w:tbl>
    <w:p w14:paraId="1E0265C7">
      <w:pPr>
        <w:rPr>
          <w:rFonts w:ascii="Arial" w:hAnsi="Arial"/>
          <w:sz w:val="24"/>
          <w:highlight w:val="none"/>
        </w:rPr>
      </w:pPr>
      <w:r>
        <w:rPr>
          <w:highlight w:val="none"/>
        </w:rPr>
        <w:br w:type="page"/>
      </w:r>
    </w:p>
    <w:p w14:paraId="5D074B26">
      <w:pPr>
        <w:pStyle w:val="2"/>
        <w:spacing w:before="62" w:after="62"/>
        <w:ind w:firstLine="480"/>
        <w:rPr>
          <w:sz w:val="24"/>
          <w:szCs w:val="24"/>
          <w:highlight w:val="none"/>
        </w:rPr>
      </w:pPr>
      <w:bookmarkStart w:id="89" w:name="_Toc168736757"/>
      <w:bookmarkStart w:id="90" w:name="_Toc201407695"/>
      <w:bookmarkStart w:id="91" w:name="_Toc26309"/>
      <w:r>
        <w:rPr>
          <w:rFonts w:hint="eastAsia"/>
          <w:sz w:val="24"/>
          <w:szCs w:val="24"/>
          <w:highlight w:val="none"/>
        </w:rPr>
        <w:t>十一、附录</w:t>
      </w:r>
      <w:bookmarkEnd w:id="89"/>
      <w:bookmarkEnd w:id="90"/>
      <w:bookmarkEnd w:id="91"/>
    </w:p>
    <w:p w14:paraId="7BDAD20F">
      <w:pPr>
        <w:snapToGrid w:val="0"/>
        <w:spacing w:line="360" w:lineRule="auto"/>
        <w:jc w:val="center"/>
        <w:rPr>
          <w:rFonts w:ascii="黑体" w:hAnsi="黑体" w:eastAsia="黑体"/>
          <w:sz w:val="24"/>
          <w:szCs w:val="24"/>
          <w:highlight w:val="none"/>
        </w:rPr>
      </w:pPr>
      <w:bookmarkStart w:id="92" w:name="_Toc29579"/>
      <w:bookmarkStart w:id="93" w:name="_Toc168736758"/>
      <w:r>
        <w:rPr>
          <w:rFonts w:hint="eastAsia" w:ascii="黑体" w:hAnsi="黑体" w:eastAsia="黑体"/>
          <w:sz w:val="24"/>
          <w:szCs w:val="24"/>
          <w:highlight w:val="none"/>
        </w:rPr>
        <w:t>************学院专业人才培养方案变更申请表</w:t>
      </w:r>
      <w:bookmarkEnd w:id="92"/>
      <w:bookmarkEnd w:id="93"/>
    </w:p>
    <w:p w14:paraId="14B980D0">
      <w:pPr>
        <w:snapToGrid w:val="0"/>
        <w:spacing w:line="360" w:lineRule="auto"/>
        <w:jc w:val="left"/>
        <w:rPr>
          <w:rFonts w:ascii="宋体" w:hAnsi="宋体"/>
          <w:color w:val="000000"/>
          <w:sz w:val="24"/>
          <w:szCs w:val="24"/>
          <w:highlight w:val="none"/>
        </w:rPr>
      </w:pPr>
      <w:r>
        <w:rPr>
          <w:rFonts w:hint="eastAsia" w:ascii="宋体" w:hAnsi="宋体" w:cs="宋体"/>
          <w:color w:val="000000"/>
          <w:kern w:val="0"/>
          <w:sz w:val="24"/>
          <w:szCs w:val="24"/>
          <w:highlight w:val="none"/>
        </w:rPr>
        <w:t>学院：</w:t>
      </w:r>
      <w:r>
        <w:rPr>
          <w:rFonts w:hint="eastAsia" w:ascii="宋体" w:hAnsi="宋体" w:cs="宋体"/>
          <w:color w:val="000000"/>
          <w:kern w:val="0"/>
          <w:sz w:val="24"/>
          <w:szCs w:val="24"/>
          <w:highlight w:val="none"/>
          <w:u w:val="single"/>
        </w:rPr>
        <w:t xml:space="preserve">                   </w:t>
      </w:r>
      <w:r>
        <w:rPr>
          <w:rFonts w:hint="eastAsia" w:ascii="宋体" w:hAnsi="宋体" w:cs="宋体"/>
          <w:color w:val="000000"/>
          <w:kern w:val="0"/>
          <w:sz w:val="24"/>
          <w:szCs w:val="24"/>
          <w:highlight w:val="none"/>
        </w:rPr>
        <w:t xml:space="preserve">               填表日期：</w:t>
      </w:r>
      <w:r>
        <w:rPr>
          <w:rFonts w:hint="eastAsia" w:ascii="宋体" w:hAnsi="宋体" w:cs="宋体"/>
          <w:color w:val="000000"/>
          <w:kern w:val="0"/>
          <w:sz w:val="24"/>
          <w:szCs w:val="24"/>
          <w:highlight w:val="none"/>
          <w:u w:val="single"/>
        </w:rPr>
        <w:t xml:space="preserve">     年   月   日</w:t>
      </w:r>
    </w:p>
    <w:tbl>
      <w:tblPr>
        <w:tblStyle w:val="15"/>
        <w:tblW w:w="10158" w:type="dxa"/>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2111"/>
        <w:gridCol w:w="2945"/>
        <w:gridCol w:w="1832"/>
        <w:gridCol w:w="3270"/>
      </w:tblGrid>
      <w:tr w14:paraId="6C370904">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02" w:hRule="exact"/>
          <w:jc w:val="center"/>
        </w:trPr>
        <w:tc>
          <w:tcPr>
            <w:tcW w:w="2111" w:type="dxa"/>
            <w:tcBorders>
              <w:top w:val="outset" w:color="000000" w:sz="6" w:space="0"/>
              <w:left w:val="outset" w:color="000000" w:sz="6" w:space="0"/>
              <w:bottom w:val="outset" w:color="000000" w:sz="6" w:space="0"/>
              <w:right w:val="outset" w:color="000000" w:sz="6" w:space="0"/>
            </w:tcBorders>
            <w:vAlign w:val="center"/>
          </w:tcPr>
          <w:p w14:paraId="2B8F6CAD">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专业名称</w:t>
            </w:r>
          </w:p>
        </w:tc>
        <w:tc>
          <w:tcPr>
            <w:tcW w:w="2945" w:type="dxa"/>
            <w:tcBorders>
              <w:top w:val="outset" w:color="000000" w:sz="6" w:space="0"/>
              <w:left w:val="outset" w:color="000000" w:sz="6" w:space="0"/>
              <w:bottom w:val="outset" w:color="000000" w:sz="6" w:space="0"/>
              <w:right w:val="outset" w:color="000000" w:sz="6" w:space="0"/>
            </w:tcBorders>
            <w:vAlign w:val="center"/>
          </w:tcPr>
          <w:p w14:paraId="3848FCC5">
            <w:pPr>
              <w:snapToGrid w:val="0"/>
              <w:spacing w:line="360" w:lineRule="auto"/>
              <w:jc w:val="center"/>
              <w:rPr>
                <w:rFonts w:ascii="宋体" w:hAnsi="宋体"/>
                <w:color w:val="000000"/>
                <w:sz w:val="24"/>
                <w:szCs w:val="24"/>
                <w:highlight w:val="none"/>
              </w:rPr>
            </w:pPr>
          </w:p>
        </w:tc>
        <w:tc>
          <w:tcPr>
            <w:tcW w:w="1832" w:type="dxa"/>
            <w:tcBorders>
              <w:top w:val="outset" w:color="000000" w:sz="6" w:space="0"/>
              <w:left w:val="outset" w:color="000000" w:sz="6" w:space="0"/>
              <w:bottom w:val="outset" w:color="000000" w:sz="6" w:space="0"/>
              <w:right w:val="outset" w:color="000000" w:sz="6" w:space="0"/>
            </w:tcBorders>
            <w:vAlign w:val="center"/>
          </w:tcPr>
          <w:p w14:paraId="6315D5D3">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年级</w:t>
            </w:r>
          </w:p>
        </w:tc>
        <w:tc>
          <w:tcPr>
            <w:tcW w:w="3270" w:type="dxa"/>
            <w:tcBorders>
              <w:top w:val="outset" w:color="000000" w:sz="6" w:space="0"/>
              <w:left w:val="outset" w:color="000000" w:sz="6" w:space="0"/>
              <w:bottom w:val="outset" w:color="000000" w:sz="6" w:space="0"/>
              <w:right w:val="outset" w:color="000000" w:sz="6" w:space="0"/>
            </w:tcBorders>
            <w:vAlign w:val="center"/>
          </w:tcPr>
          <w:p w14:paraId="57B8EBB3">
            <w:pPr>
              <w:snapToGrid w:val="0"/>
              <w:spacing w:line="360" w:lineRule="auto"/>
              <w:jc w:val="center"/>
              <w:rPr>
                <w:rFonts w:ascii="宋体" w:hAnsi="宋体"/>
                <w:color w:val="000000"/>
                <w:sz w:val="24"/>
                <w:szCs w:val="24"/>
                <w:highlight w:val="none"/>
              </w:rPr>
            </w:pPr>
          </w:p>
        </w:tc>
      </w:tr>
      <w:tr w14:paraId="42FE0C5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02" w:hRule="exact"/>
          <w:jc w:val="center"/>
        </w:trPr>
        <w:tc>
          <w:tcPr>
            <w:tcW w:w="10158" w:type="dxa"/>
            <w:gridSpan w:val="4"/>
            <w:tcBorders>
              <w:top w:val="outset" w:color="000000" w:sz="6" w:space="0"/>
              <w:left w:val="outset" w:color="000000" w:sz="6" w:space="0"/>
              <w:bottom w:val="outset" w:color="000000" w:sz="6" w:space="0"/>
              <w:right w:val="outset" w:color="000000" w:sz="6" w:space="0"/>
            </w:tcBorders>
            <w:vAlign w:val="center"/>
          </w:tcPr>
          <w:p w14:paraId="1661DA3D">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更改前后信息对照</w:t>
            </w:r>
          </w:p>
        </w:tc>
      </w:tr>
      <w:tr w14:paraId="28BF0B16">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02" w:hRule="exact"/>
          <w:jc w:val="center"/>
        </w:trPr>
        <w:tc>
          <w:tcPr>
            <w:tcW w:w="5056" w:type="dxa"/>
            <w:gridSpan w:val="2"/>
            <w:tcBorders>
              <w:top w:val="outset" w:color="000000" w:sz="6" w:space="0"/>
              <w:left w:val="outset" w:color="000000" w:sz="6" w:space="0"/>
              <w:bottom w:val="outset" w:color="000000" w:sz="6" w:space="0"/>
              <w:right w:val="outset" w:color="000000" w:sz="6" w:space="0"/>
            </w:tcBorders>
            <w:vAlign w:val="center"/>
          </w:tcPr>
          <w:p w14:paraId="272BFF3C">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更 改 前</w:t>
            </w:r>
          </w:p>
        </w:tc>
        <w:tc>
          <w:tcPr>
            <w:tcW w:w="5102" w:type="dxa"/>
            <w:gridSpan w:val="2"/>
            <w:tcBorders>
              <w:top w:val="outset" w:color="000000" w:sz="6" w:space="0"/>
              <w:left w:val="outset" w:color="000000" w:sz="6" w:space="0"/>
              <w:bottom w:val="outset" w:color="000000" w:sz="6" w:space="0"/>
              <w:right w:val="outset" w:color="000000" w:sz="6" w:space="0"/>
            </w:tcBorders>
            <w:vAlign w:val="center"/>
          </w:tcPr>
          <w:p w14:paraId="5DEB58EB">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更 改 后</w:t>
            </w:r>
          </w:p>
        </w:tc>
      </w:tr>
      <w:tr w14:paraId="6BABACA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vAlign w:val="center"/>
          </w:tcPr>
          <w:p w14:paraId="44190B0E">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课程名称</w:t>
            </w:r>
          </w:p>
        </w:tc>
        <w:tc>
          <w:tcPr>
            <w:tcW w:w="2945" w:type="dxa"/>
            <w:tcBorders>
              <w:top w:val="outset" w:color="000000" w:sz="6" w:space="0"/>
              <w:left w:val="outset" w:color="000000" w:sz="6" w:space="0"/>
              <w:bottom w:val="outset" w:color="000000" w:sz="6" w:space="0"/>
              <w:right w:val="outset" w:color="000000" w:sz="6" w:space="0"/>
            </w:tcBorders>
            <w:vAlign w:val="center"/>
          </w:tcPr>
          <w:p w14:paraId="0FC9FD8B">
            <w:pPr>
              <w:snapToGrid w:val="0"/>
              <w:spacing w:line="360" w:lineRule="auto"/>
              <w:jc w:val="center"/>
              <w:rPr>
                <w:rFonts w:ascii="宋体" w:hAnsi="宋体"/>
                <w:color w:val="000000"/>
                <w:sz w:val="24"/>
                <w:szCs w:val="24"/>
                <w:highlight w:val="none"/>
              </w:rPr>
            </w:pPr>
          </w:p>
        </w:tc>
        <w:tc>
          <w:tcPr>
            <w:tcW w:w="1832" w:type="dxa"/>
            <w:tcBorders>
              <w:top w:val="outset" w:color="000000" w:sz="6" w:space="0"/>
              <w:left w:val="outset" w:color="000000" w:sz="6" w:space="0"/>
              <w:bottom w:val="outset" w:color="000000" w:sz="6" w:space="0"/>
              <w:right w:val="outset" w:color="000000" w:sz="6" w:space="0"/>
            </w:tcBorders>
            <w:vAlign w:val="center"/>
          </w:tcPr>
          <w:p w14:paraId="53106EB9">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课程名称</w:t>
            </w:r>
          </w:p>
        </w:tc>
        <w:tc>
          <w:tcPr>
            <w:tcW w:w="3270" w:type="dxa"/>
            <w:tcBorders>
              <w:top w:val="outset" w:color="000000" w:sz="6" w:space="0"/>
              <w:left w:val="outset" w:color="000000" w:sz="6" w:space="0"/>
              <w:bottom w:val="outset" w:color="000000" w:sz="6" w:space="0"/>
              <w:right w:val="outset" w:color="000000" w:sz="6" w:space="0"/>
            </w:tcBorders>
            <w:vAlign w:val="center"/>
          </w:tcPr>
          <w:p w14:paraId="38749602">
            <w:pPr>
              <w:snapToGrid w:val="0"/>
              <w:spacing w:line="360" w:lineRule="auto"/>
              <w:jc w:val="center"/>
              <w:rPr>
                <w:rFonts w:ascii="宋体" w:hAnsi="宋体"/>
                <w:color w:val="000000"/>
                <w:sz w:val="24"/>
                <w:szCs w:val="24"/>
                <w:highlight w:val="none"/>
              </w:rPr>
            </w:pPr>
          </w:p>
        </w:tc>
      </w:tr>
      <w:tr w14:paraId="5568A58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vAlign w:val="center"/>
          </w:tcPr>
          <w:p w14:paraId="340B9262">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开课学期</w:t>
            </w:r>
          </w:p>
        </w:tc>
        <w:tc>
          <w:tcPr>
            <w:tcW w:w="2945" w:type="dxa"/>
            <w:tcBorders>
              <w:top w:val="outset" w:color="000000" w:sz="6" w:space="0"/>
              <w:left w:val="outset" w:color="000000" w:sz="6" w:space="0"/>
              <w:bottom w:val="outset" w:color="000000" w:sz="6" w:space="0"/>
              <w:right w:val="outset" w:color="000000" w:sz="6" w:space="0"/>
            </w:tcBorders>
            <w:vAlign w:val="center"/>
          </w:tcPr>
          <w:p w14:paraId="3AFB7C10">
            <w:pPr>
              <w:snapToGrid w:val="0"/>
              <w:spacing w:line="360" w:lineRule="auto"/>
              <w:jc w:val="center"/>
              <w:rPr>
                <w:rFonts w:ascii="宋体" w:hAnsi="宋体"/>
                <w:color w:val="000000"/>
                <w:sz w:val="24"/>
                <w:szCs w:val="24"/>
                <w:highlight w:val="none"/>
              </w:rPr>
            </w:pPr>
          </w:p>
        </w:tc>
        <w:tc>
          <w:tcPr>
            <w:tcW w:w="1832" w:type="dxa"/>
            <w:tcBorders>
              <w:top w:val="outset" w:color="000000" w:sz="6" w:space="0"/>
              <w:left w:val="outset" w:color="000000" w:sz="6" w:space="0"/>
              <w:bottom w:val="outset" w:color="000000" w:sz="6" w:space="0"/>
              <w:right w:val="outset" w:color="000000" w:sz="6" w:space="0"/>
            </w:tcBorders>
            <w:vAlign w:val="center"/>
          </w:tcPr>
          <w:p w14:paraId="5CD35012">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开课学期</w:t>
            </w:r>
          </w:p>
        </w:tc>
        <w:tc>
          <w:tcPr>
            <w:tcW w:w="3270" w:type="dxa"/>
            <w:tcBorders>
              <w:top w:val="outset" w:color="000000" w:sz="6" w:space="0"/>
              <w:left w:val="outset" w:color="000000" w:sz="6" w:space="0"/>
              <w:bottom w:val="outset" w:color="000000" w:sz="6" w:space="0"/>
              <w:right w:val="outset" w:color="000000" w:sz="6" w:space="0"/>
            </w:tcBorders>
            <w:vAlign w:val="center"/>
          </w:tcPr>
          <w:p w14:paraId="31B3AFB6">
            <w:pPr>
              <w:snapToGrid w:val="0"/>
              <w:spacing w:line="360" w:lineRule="auto"/>
              <w:jc w:val="center"/>
              <w:rPr>
                <w:rFonts w:ascii="宋体" w:hAnsi="宋体"/>
                <w:color w:val="000000"/>
                <w:sz w:val="24"/>
                <w:szCs w:val="24"/>
                <w:highlight w:val="none"/>
              </w:rPr>
            </w:pPr>
          </w:p>
        </w:tc>
      </w:tr>
      <w:tr w14:paraId="0ABAC59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vAlign w:val="center"/>
          </w:tcPr>
          <w:p w14:paraId="2AA3A9D4">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开课学院</w:t>
            </w:r>
          </w:p>
        </w:tc>
        <w:tc>
          <w:tcPr>
            <w:tcW w:w="2945" w:type="dxa"/>
            <w:tcBorders>
              <w:top w:val="outset" w:color="000000" w:sz="6" w:space="0"/>
              <w:left w:val="outset" w:color="000000" w:sz="6" w:space="0"/>
              <w:bottom w:val="outset" w:color="000000" w:sz="6" w:space="0"/>
              <w:right w:val="outset" w:color="000000" w:sz="6" w:space="0"/>
            </w:tcBorders>
            <w:vAlign w:val="center"/>
          </w:tcPr>
          <w:p w14:paraId="63B6E5CE">
            <w:pPr>
              <w:snapToGrid w:val="0"/>
              <w:spacing w:line="360" w:lineRule="auto"/>
              <w:jc w:val="center"/>
              <w:rPr>
                <w:rFonts w:ascii="宋体" w:hAnsi="宋体"/>
                <w:color w:val="000000"/>
                <w:sz w:val="24"/>
                <w:szCs w:val="24"/>
                <w:highlight w:val="none"/>
              </w:rPr>
            </w:pPr>
          </w:p>
        </w:tc>
        <w:tc>
          <w:tcPr>
            <w:tcW w:w="1832" w:type="dxa"/>
            <w:tcBorders>
              <w:top w:val="outset" w:color="000000" w:sz="6" w:space="0"/>
              <w:left w:val="outset" w:color="000000" w:sz="6" w:space="0"/>
              <w:bottom w:val="outset" w:color="000000" w:sz="6" w:space="0"/>
              <w:right w:val="outset" w:color="000000" w:sz="6" w:space="0"/>
            </w:tcBorders>
            <w:vAlign w:val="center"/>
          </w:tcPr>
          <w:p w14:paraId="7A9B0E16">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开课学院</w:t>
            </w:r>
          </w:p>
        </w:tc>
        <w:tc>
          <w:tcPr>
            <w:tcW w:w="3270" w:type="dxa"/>
            <w:tcBorders>
              <w:top w:val="outset" w:color="000000" w:sz="6" w:space="0"/>
              <w:left w:val="outset" w:color="000000" w:sz="6" w:space="0"/>
              <w:bottom w:val="outset" w:color="000000" w:sz="6" w:space="0"/>
              <w:right w:val="outset" w:color="000000" w:sz="6" w:space="0"/>
            </w:tcBorders>
            <w:vAlign w:val="center"/>
          </w:tcPr>
          <w:p w14:paraId="297864AB">
            <w:pPr>
              <w:snapToGrid w:val="0"/>
              <w:spacing w:line="360" w:lineRule="auto"/>
              <w:jc w:val="center"/>
              <w:rPr>
                <w:rFonts w:ascii="宋体" w:hAnsi="宋体"/>
                <w:color w:val="000000"/>
                <w:sz w:val="24"/>
                <w:szCs w:val="24"/>
                <w:highlight w:val="none"/>
              </w:rPr>
            </w:pPr>
          </w:p>
        </w:tc>
      </w:tr>
      <w:tr w14:paraId="4204043A">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21" w:hRule="exact"/>
          <w:jc w:val="center"/>
        </w:trPr>
        <w:tc>
          <w:tcPr>
            <w:tcW w:w="2111" w:type="dxa"/>
            <w:tcBorders>
              <w:top w:val="outset" w:color="000000" w:sz="6" w:space="0"/>
              <w:left w:val="outset" w:color="000000" w:sz="6" w:space="0"/>
              <w:bottom w:val="outset" w:color="000000" w:sz="6" w:space="0"/>
              <w:right w:val="outset" w:color="000000" w:sz="6" w:space="0"/>
            </w:tcBorders>
            <w:vAlign w:val="center"/>
          </w:tcPr>
          <w:p w14:paraId="3A3A3686">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学分</w:t>
            </w:r>
          </w:p>
        </w:tc>
        <w:tc>
          <w:tcPr>
            <w:tcW w:w="2945" w:type="dxa"/>
            <w:tcBorders>
              <w:top w:val="outset" w:color="000000" w:sz="6" w:space="0"/>
              <w:left w:val="outset" w:color="000000" w:sz="6" w:space="0"/>
              <w:bottom w:val="outset" w:color="000000" w:sz="6" w:space="0"/>
              <w:right w:val="outset" w:color="000000" w:sz="6" w:space="0"/>
            </w:tcBorders>
            <w:vAlign w:val="center"/>
          </w:tcPr>
          <w:p w14:paraId="664A8D44">
            <w:pPr>
              <w:snapToGrid w:val="0"/>
              <w:spacing w:line="360" w:lineRule="auto"/>
              <w:jc w:val="center"/>
              <w:rPr>
                <w:rFonts w:ascii="宋体" w:hAnsi="宋体"/>
                <w:color w:val="000000"/>
                <w:sz w:val="24"/>
                <w:szCs w:val="24"/>
                <w:highlight w:val="none"/>
              </w:rPr>
            </w:pPr>
          </w:p>
        </w:tc>
        <w:tc>
          <w:tcPr>
            <w:tcW w:w="1832" w:type="dxa"/>
            <w:tcBorders>
              <w:top w:val="outset" w:color="000000" w:sz="6" w:space="0"/>
              <w:left w:val="outset" w:color="000000" w:sz="6" w:space="0"/>
              <w:bottom w:val="outset" w:color="000000" w:sz="6" w:space="0"/>
              <w:right w:val="outset" w:color="000000" w:sz="6" w:space="0"/>
            </w:tcBorders>
            <w:vAlign w:val="center"/>
          </w:tcPr>
          <w:p w14:paraId="551A5AB2">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学分</w:t>
            </w:r>
          </w:p>
        </w:tc>
        <w:tc>
          <w:tcPr>
            <w:tcW w:w="3270" w:type="dxa"/>
            <w:tcBorders>
              <w:top w:val="outset" w:color="000000" w:sz="6" w:space="0"/>
              <w:left w:val="outset" w:color="000000" w:sz="6" w:space="0"/>
              <w:bottom w:val="outset" w:color="000000" w:sz="6" w:space="0"/>
              <w:right w:val="outset" w:color="000000" w:sz="6" w:space="0"/>
            </w:tcBorders>
            <w:vAlign w:val="center"/>
          </w:tcPr>
          <w:p w14:paraId="6F163534">
            <w:pPr>
              <w:snapToGrid w:val="0"/>
              <w:spacing w:line="360" w:lineRule="auto"/>
              <w:jc w:val="center"/>
              <w:rPr>
                <w:rFonts w:ascii="宋体" w:hAnsi="宋体"/>
                <w:color w:val="000000"/>
                <w:sz w:val="24"/>
                <w:szCs w:val="24"/>
                <w:highlight w:val="none"/>
              </w:rPr>
            </w:pPr>
          </w:p>
        </w:tc>
      </w:tr>
      <w:tr w14:paraId="1F9FE4A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40" w:hRule="exact"/>
          <w:jc w:val="center"/>
        </w:trPr>
        <w:tc>
          <w:tcPr>
            <w:tcW w:w="2111" w:type="dxa"/>
            <w:tcBorders>
              <w:top w:val="outset" w:color="000000" w:sz="6" w:space="0"/>
              <w:left w:val="outset" w:color="000000" w:sz="6" w:space="0"/>
              <w:bottom w:val="outset" w:color="000000" w:sz="6" w:space="0"/>
              <w:right w:val="outset" w:color="000000" w:sz="6" w:space="0"/>
            </w:tcBorders>
            <w:vAlign w:val="center"/>
          </w:tcPr>
          <w:p w14:paraId="2F22F41F">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周课时</w:t>
            </w:r>
          </w:p>
        </w:tc>
        <w:tc>
          <w:tcPr>
            <w:tcW w:w="2945" w:type="dxa"/>
            <w:tcBorders>
              <w:top w:val="outset" w:color="000000" w:sz="6" w:space="0"/>
              <w:left w:val="outset" w:color="000000" w:sz="6" w:space="0"/>
              <w:bottom w:val="outset" w:color="000000" w:sz="6" w:space="0"/>
              <w:right w:val="outset" w:color="000000" w:sz="6" w:space="0"/>
            </w:tcBorders>
            <w:vAlign w:val="center"/>
          </w:tcPr>
          <w:p w14:paraId="6AFC14F0">
            <w:pPr>
              <w:snapToGrid w:val="0"/>
              <w:spacing w:line="360" w:lineRule="auto"/>
              <w:jc w:val="center"/>
              <w:rPr>
                <w:rFonts w:ascii="宋体" w:hAnsi="宋体"/>
                <w:color w:val="000000"/>
                <w:sz w:val="24"/>
                <w:szCs w:val="24"/>
                <w:highlight w:val="none"/>
              </w:rPr>
            </w:pPr>
          </w:p>
        </w:tc>
        <w:tc>
          <w:tcPr>
            <w:tcW w:w="1832" w:type="dxa"/>
            <w:tcBorders>
              <w:top w:val="outset" w:color="000000" w:sz="6" w:space="0"/>
              <w:left w:val="outset" w:color="000000" w:sz="6" w:space="0"/>
              <w:bottom w:val="outset" w:color="000000" w:sz="6" w:space="0"/>
              <w:right w:val="outset" w:color="000000" w:sz="6" w:space="0"/>
            </w:tcBorders>
            <w:vAlign w:val="center"/>
          </w:tcPr>
          <w:p w14:paraId="63BC268F">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周课时</w:t>
            </w:r>
          </w:p>
        </w:tc>
        <w:tc>
          <w:tcPr>
            <w:tcW w:w="3270" w:type="dxa"/>
            <w:tcBorders>
              <w:top w:val="outset" w:color="000000" w:sz="6" w:space="0"/>
              <w:left w:val="outset" w:color="000000" w:sz="6" w:space="0"/>
              <w:bottom w:val="outset" w:color="000000" w:sz="6" w:space="0"/>
              <w:right w:val="outset" w:color="000000" w:sz="6" w:space="0"/>
            </w:tcBorders>
            <w:vAlign w:val="center"/>
          </w:tcPr>
          <w:p w14:paraId="44202107">
            <w:pPr>
              <w:snapToGrid w:val="0"/>
              <w:spacing w:line="360" w:lineRule="auto"/>
              <w:jc w:val="center"/>
              <w:rPr>
                <w:rFonts w:ascii="宋体" w:hAnsi="宋体"/>
                <w:color w:val="000000"/>
                <w:sz w:val="24"/>
                <w:szCs w:val="24"/>
                <w:highlight w:val="none"/>
              </w:rPr>
            </w:pPr>
          </w:p>
        </w:tc>
      </w:tr>
      <w:tr w14:paraId="4CC3E024">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00" w:hRule="exact"/>
          <w:jc w:val="center"/>
        </w:trPr>
        <w:tc>
          <w:tcPr>
            <w:tcW w:w="2111" w:type="dxa"/>
            <w:tcBorders>
              <w:top w:val="outset" w:color="000000" w:sz="6" w:space="0"/>
              <w:left w:val="outset" w:color="000000" w:sz="6" w:space="0"/>
              <w:bottom w:val="outset" w:color="000000" w:sz="6" w:space="0"/>
              <w:right w:val="outset" w:color="000000" w:sz="6" w:space="0"/>
            </w:tcBorders>
            <w:vAlign w:val="center"/>
          </w:tcPr>
          <w:p w14:paraId="5413D613">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总课时</w:t>
            </w:r>
          </w:p>
        </w:tc>
        <w:tc>
          <w:tcPr>
            <w:tcW w:w="2945" w:type="dxa"/>
            <w:tcBorders>
              <w:top w:val="outset" w:color="000000" w:sz="6" w:space="0"/>
              <w:left w:val="outset" w:color="000000" w:sz="6" w:space="0"/>
              <w:bottom w:val="outset" w:color="000000" w:sz="6" w:space="0"/>
              <w:right w:val="outset" w:color="000000" w:sz="6" w:space="0"/>
            </w:tcBorders>
            <w:vAlign w:val="center"/>
          </w:tcPr>
          <w:p w14:paraId="180876F7">
            <w:pPr>
              <w:snapToGrid w:val="0"/>
              <w:spacing w:line="360" w:lineRule="auto"/>
              <w:jc w:val="center"/>
              <w:rPr>
                <w:rFonts w:ascii="宋体" w:hAnsi="宋体"/>
                <w:color w:val="000000"/>
                <w:sz w:val="24"/>
                <w:szCs w:val="24"/>
                <w:highlight w:val="none"/>
              </w:rPr>
            </w:pPr>
          </w:p>
        </w:tc>
        <w:tc>
          <w:tcPr>
            <w:tcW w:w="1832" w:type="dxa"/>
            <w:tcBorders>
              <w:top w:val="outset" w:color="000000" w:sz="6" w:space="0"/>
              <w:left w:val="outset" w:color="000000" w:sz="6" w:space="0"/>
              <w:bottom w:val="outset" w:color="000000" w:sz="6" w:space="0"/>
              <w:right w:val="outset" w:color="000000" w:sz="6" w:space="0"/>
            </w:tcBorders>
            <w:vAlign w:val="center"/>
          </w:tcPr>
          <w:p w14:paraId="17C88FF7">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总课时</w:t>
            </w:r>
          </w:p>
        </w:tc>
        <w:tc>
          <w:tcPr>
            <w:tcW w:w="3270" w:type="dxa"/>
            <w:tcBorders>
              <w:top w:val="outset" w:color="000000" w:sz="6" w:space="0"/>
              <w:left w:val="outset" w:color="000000" w:sz="6" w:space="0"/>
              <w:bottom w:val="outset" w:color="000000" w:sz="6" w:space="0"/>
              <w:right w:val="outset" w:color="000000" w:sz="6" w:space="0"/>
            </w:tcBorders>
            <w:vAlign w:val="center"/>
          </w:tcPr>
          <w:p w14:paraId="0447ACFC">
            <w:pPr>
              <w:snapToGrid w:val="0"/>
              <w:spacing w:line="360" w:lineRule="auto"/>
              <w:jc w:val="center"/>
              <w:rPr>
                <w:rFonts w:ascii="宋体" w:hAnsi="宋体"/>
                <w:color w:val="000000"/>
                <w:sz w:val="24"/>
                <w:szCs w:val="24"/>
                <w:highlight w:val="none"/>
              </w:rPr>
            </w:pPr>
          </w:p>
        </w:tc>
      </w:tr>
      <w:tr w14:paraId="44A67D2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612" w:hRule="exact"/>
          <w:jc w:val="center"/>
        </w:trPr>
        <w:tc>
          <w:tcPr>
            <w:tcW w:w="2111" w:type="dxa"/>
            <w:tcBorders>
              <w:top w:val="outset" w:color="000000" w:sz="6" w:space="0"/>
              <w:left w:val="outset" w:color="000000" w:sz="6" w:space="0"/>
              <w:bottom w:val="outset" w:color="000000" w:sz="6" w:space="0"/>
              <w:right w:val="outset" w:color="000000" w:sz="6" w:space="0"/>
            </w:tcBorders>
            <w:vAlign w:val="center"/>
          </w:tcPr>
          <w:p w14:paraId="117A9F72">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考核方式</w:t>
            </w:r>
          </w:p>
        </w:tc>
        <w:tc>
          <w:tcPr>
            <w:tcW w:w="2945" w:type="dxa"/>
            <w:tcBorders>
              <w:top w:val="outset" w:color="000000" w:sz="6" w:space="0"/>
              <w:left w:val="outset" w:color="000000" w:sz="6" w:space="0"/>
              <w:bottom w:val="outset" w:color="000000" w:sz="6" w:space="0"/>
              <w:right w:val="outset" w:color="000000" w:sz="6" w:space="0"/>
            </w:tcBorders>
            <w:vAlign w:val="center"/>
          </w:tcPr>
          <w:p w14:paraId="28438E24">
            <w:pPr>
              <w:snapToGrid w:val="0"/>
              <w:spacing w:line="360" w:lineRule="auto"/>
              <w:jc w:val="center"/>
              <w:rPr>
                <w:rFonts w:ascii="宋体" w:hAnsi="宋体"/>
                <w:color w:val="000000"/>
                <w:sz w:val="24"/>
                <w:szCs w:val="24"/>
                <w:highlight w:val="none"/>
              </w:rPr>
            </w:pPr>
          </w:p>
        </w:tc>
        <w:tc>
          <w:tcPr>
            <w:tcW w:w="1832" w:type="dxa"/>
            <w:tcBorders>
              <w:top w:val="outset" w:color="000000" w:sz="6" w:space="0"/>
              <w:left w:val="outset" w:color="000000" w:sz="6" w:space="0"/>
              <w:bottom w:val="outset" w:color="000000" w:sz="6" w:space="0"/>
              <w:right w:val="outset" w:color="000000" w:sz="6" w:space="0"/>
            </w:tcBorders>
            <w:vAlign w:val="center"/>
          </w:tcPr>
          <w:p w14:paraId="42B0B79F">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考核方式</w:t>
            </w:r>
          </w:p>
        </w:tc>
        <w:tc>
          <w:tcPr>
            <w:tcW w:w="3270" w:type="dxa"/>
            <w:tcBorders>
              <w:top w:val="outset" w:color="000000" w:sz="6" w:space="0"/>
              <w:left w:val="outset" w:color="000000" w:sz="6" w:space="0"/>
              <w:bottom w:val="outset" w:color="000000" w:sz="6" w:space="0"/>
              <w:right w:val="outset" w:color="000000" w:sz="6" w:space="0"/>
            </w:tcBorders>
            <w:vAlign w:val="center"/>
          </w:tcPr>
          <w:p w14:paraId="10811F9D">
            <w:pPr>
              <w:snapToGrid w:val="0"/>
              <w:spacing w:line="360" w:lineRule="auto"/>
              <w:jc w:val="center"/>
              <w:rPr>
                <w:rFonts w:ascii="宋体" w:hAnsi="宋体"/>
                <w:color w:val="000000"/>
                <w:sz w:val="24"/>
                <w:szCs w:val="24"/>
                <w:highlight w:val="none"/>
              </w:rPr>
            </w:pPr>
          </w:p>
        </w:tc>
      </w:tr>
      <w:tr w14:paraId="45F7762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2111" w:type="dxa"/>
            <w:tcBorders>
              <w:top w:val="outset" w:color="000000" w:sz="6" w:space="0"/>
              <w:left w:val="outset" w:color="000000" w:sz="6" w:space="0"/>
              <w:bottom w:val="outset" w:color="000000" w:sz="6" w:space="0"/>
              <w:right w:val="outset" w:color="000000" w:sz="6" w:space="0"/>
            </w:tcBorders>
            <w:vAlign w:val="center"/>
          </w:tcPr>
          <w:p w14:paraId="421B7CE9">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更改原因</w:t>
            </w:r>
          </w:p>
        </w:tc>
        <w:tc>
          <w:tcPr>
            <w:tcW w:w="8047" w:type="dxa"/>
            <w:gridSpan w:val="3"/>
            <w:tcBorders>
              <w:top w:val="outset" w:color="000000" w:sz="6" w:space="0"/>
              <w:left w:val="outset" w:color="000000" w:sz="6" w:space="0"/>
              <w:bottom w:val="outset" w:color="000000" w:sz="6" w:space="0"/>
              <w:right w:val="outset" w:color="000000" w:sz="6" w:space="0"/>
            </w:tcBorders>
            <w:vAlign w:val="center"/>
          </w:tcPr>
          <w:p w14:paraId="3393BE47">
            <w:pPr>
              <w:snapToGrid w:val="0"/>
              <w:spacing w:line="360" w:lineRule="auto"/>
              <w:jc w:val="center"/>
              <w:rPr>
                <w:rFonts w:ascii="宋体" w:hAnsi="宋体"/>
                <w:color w:val="000000"/>
                <w:sz w:val="24"/>
                <w:szCs w:val="24"/>
                <w:highlight w:val="none"/>
              </w:rPr>
            </w:pPr>
          </w:p>
        </w:tc>
      </w:tr>
      <w:tr w14:paraId="05C5A9B4">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2068" w:hRule="atLeast"/>
          <w:jc w:val="center"/>
        </w:trPr>
        <w:tc>
          <w:tcPr>
            <w:tcW w:w="2111" w:type="dxa"/>
            <w:tcBorders>
              <w:top w:val="outset" w:color="000000" w:sz="6" w:space="0"/>
              <w:left w:val="outset" w:color="000000" w:sz="6" w:space="0"/>
              <w:bottom w:val="outset" w:color="000000" w:sz="6" w:space="0"/>
              <w:right w:val="outset" w:color="000000" w:sz="6" w:space="0"/>
            </w:tcBorders>
            <w:vAlign w:val="center"/>
          </w:tcPr>
          <w:p w14:paraId="417C46CD">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教研室</w:t>
            </w:r>
          </w:p>
          <w:p w14:paraId="57B50CC0">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主任</w:t>
            </w:r>
          </w:p>
          <w:p w14:paraId="57B6F944">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审批意见</w:t>
            </w:r>
          </w:p>
        </w:tc>
        <w:tc>
          <w:tcPr>
            <w:tcW w:w="2945" w:type="dxa"/>
            <w:tcBorders>
              <w:top w:val="outset" w:color="000000" w:sz="6" w:space="0"/>
              <w:left w:val="outset" w:color="000000" w:sz="6" w:space="0"/>
              <w:bottom w:val="outset" w:color="000000" w:sz="6" w:space="0"/>
              <w:right w:val="outset" w:color="000000" w:sz="6" w:space="0"/>
            </w:tcBorders>
            <w:vAlign w:val="center"/>
          </w:tcPr>
          <w:p w14:paraId="2185858A">
            <w:pPr>
              <w:snapToGrid w:val="0"/>
              <w:spacing w:line="360" w:lineRule="auto"/>
              <w:rPr>
                <w:rFonts w:ascii="宋体" w:hAnsi="宋体"/>
                <w:color w:val="000000"/>
                <w:sz w:val="24"/>
                <w:szCs w:val="24"/>
                <w:highlight w:val="none"/>
              </w:rPr>
            </w:pPr>
          </w:p>
        </w:tc>
        <w:tc>
          <w:tcPr>
            <w:tcW w:w="1832" w:type="dxa"/>
            <w:tcBorders>
              <w:top w:val="outset" w:color="000000" w:sz="6" w:space="0"/>
              <w:left w:val="outset" w:color="000000" w:sz="6" w:space="0"/>
              <w:bottom w:val="outset" w:color="000000" w:sz="6" w:space="0"/>
              <w:right w:val="outset" w:color="000000" w:sz="6" w:space="0"/>
            </w:tcBorders>
            <w:vAlign w:val="center"/>
          </w:tcPr>
          <w:p w14:paraId="1A60BED3">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学院领导</w:t>
            </w:r>
          </w:p>
          <w:p w14:paraId="0C856744">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审批意见</w:t>
            </w:r>
          </w:p>
        </w:tc>
        <w:tc>
          <w:tcPr>
            <w:tcW w:w="3270" w:type="dxa"/>
            <w:tcBorders>
              <w:top w:val="outset" w:color="000000" w:sz="6" w:space="0"/>
              <w:left w:val="outset" w:color="000000" w:sz="6" w:space="0"/>
              <w:bottom w:val="outset" w:color="000000" w:sz="6" w:space="0"/>
              <w:right w:val="outset" w:color="000000" w:sz="6" w:space="0"/>
            </w:tcBorders>
            <w:vAlign w:val="center"/>
          </w:tcPr>
          <w:p w14:paraId="74D76189">
            <w:pPr>
              <w:snapToGrid w:val="0"/>
              <w:spacing w:line="360" w:lineRule="auto"/>
              <w:jc w:val="center"/>
              <w:rPr>
                <w:rFonts w:ascii="宋体" w:hAnsi="宋体"/>
                <w:color w:val="000000"/>
                <w:sz w:val="24"/>
                <w:szCs w:val="24"/>
                <w:highlight w:val="none"/>
              </w:rPr>
            </w:pPr>
          </w:p>
        </w:tc>
      </w:tr>
      <w:tr w14:paraId="793FECD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trHeight w:val="1536" w:hRule="atLeast"/>
          <w:jc w:val="center"/>
        </w:trPr>
        <w:tc>
          <w:tcPr>
            <w:tcW w:w="2111" w:type="dxa"/>
            <w:tcBorders>
              <w:top w:val="outset" w:color="000000" w:sz="6" w:space="0"/>
              <w:left w:val="outset" w:color="000000" w:sz="6" w:space="0"/>
              <w:bottom w:val="outset" w:color="000000" w:sz="6" w:space="0"/>
              <w:right w:val="outset" w:color="000000" w:sz="6" w:space="0"/>
            </w:tcBorders>
            <w:vAlign w:val="center"/>
          </w:tcPr>
          <w:p w14:paraId="0B0C0548">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教务处处长</w:t>
            </w:r>
          </w:p>
          <w:p w14:paraId="6733590C">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审批意见</w:t>
            </w:r>
          </w:p>
        </w:tc>
        <w:tc>
          <w:tcPr>
            <w:tcW w:w="2945" w:type="dxa"/>
            <w:tcBorders>
              <w:top w:val="outset" w:color="000000" w:sz="6" w:space="0"/>
              <w:left w:val="outset" w:color="000000" w:sz="6" w:space="0"/>
              <w:bottom w:val="outset" w:color="000000" w:sz="6" w:space="0"/>
              <w:right w:val="outset" w:color="000000" w:sz="6" w:space="0"/>
            </w:tcBorders>
            <w:vAlign w:val="center"/>
          </w:tcPr>
          <w:p w14:paraId="37EBFC8C">
            <w:pPr>
              <w:snapToGrid w:val="0"/>
              <w:spacing w:line="360" w:lineRule="auto"/>
              <w:rPr>
                <w:rFonts w:ascii="宋体" w:hAnsi="宋体"/>
                <w:color w:val="000000"/>
                <w:sz w:val="24"/>
                <w:szCs w:val="24"/>
                <w:highlight w:val="none"/>
              </w:rPr>
            </w:pPr>
          </w:p>
        </w:tc>
        <w:tc>
          <w:tcPr>
            <w:tcW w:w="1832" w:type="dxa"/>
            <w:tcBorders>
              <w:top w:val="outset" w:color="000000" w:sz="6" w:space="0"/>
              <w:left w:val="outset" w:color="000000" w:sz="6" w:space="0"/>
              <w:bottom w:val="outset" w:color="000000" w:sz="6" w:space="0"/>
              <w:right w:val="outset" w:color="000000" w:sz="6" w:space="0"/>
            </w:tcBorders>
            <w:vAlign w:val="center"/>
          </w:tcPr>
          <w:p w14:paraId="734462DE">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分管校领导</w:t>
            </w:r>
          </w:p>
          <w:p w14:paraId="2191E0F3">
            <w:pPr>
              <w:snapToGrid w:val="0"/>
              <w:spacing w:line="360" w:lineRule="auto"/>
              <w:jc w:val="center"/>
              <w:rPr>
                <w:rFonts w:ascii="宋体" w:hAnsi="宋体"/>
                <w:color w:val="000000"/>
                <w:sz w:val="24"/>
                <w:szCs w:val="24"/>
                <w:highlight w:val="none"/>
              </w:rPr>
            </w:pPr>
            <w:r>
              <w:rPr>
                <w:rFonts w:hint="eastAsia" w:ascii="宋体" w:hAnsi="宋体"/>
                <w:color w:val="000000"/>
                <w:sz w:val="24"/>
                <w:szCs w:val="24"/>
                <w:highlight w:val="none"/>
              </w:rPr>
              <w:t>审批意见</w:t>
            </w:r>
          </w:p>
        </w:tc>
        <w:tc>
          <w:tcPr>
            <w:tcW w:w="3270" w:type="dxa"/>
            <w:tcBorders>
              <w:top w:val="outset" w:color="000000" w:sz="6" w:space="0"/>
              <w:left w:val="outset" w:color="000000" w:sz="6" w:space="0"/>
              <w:bottom w:val="outset" w:color="000000" w:sz="6" w:space="0"/>
              <w:right w:val="outset" w:color="000000" w:sz="6" w:space="0"/>
            </w:tcBorders>
            <w:vAlign w:val="center"/>
          </w:tcPr>
          <w:p w14:paraId="746F9F51">
            <w:pPr>
              <w:snapToGrid w:val="0"/>
              <w:spacing w:line="360" w:lineRule="auto"/>
              <w:jc w:val="center"/>
              <w:rPr>
                <w:rFonts w:ascii="宋体" w:hAnsi="宋体"/>
                <w:color w:val="000000"/>
                <w:sz w:val="24"/>
                <w:szCs w:val="24"/>
                <w:highlight w:val="none"/>
              </w:rPr>
            </w:pPr>
          </w:p>
        </w:tc>
      </w:tr>
      <w:bookmarkEnd w:id="0"/>
    </w:tbl>
    <w:p w14:paraId="246E1594">
      <w:pPr>
        <w:snapToGrid w:val="0"/>
        <w:spacing w:line="360" w:lineRule="auto"/>
        <w:rPr>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0BBFB38-E52E-4932-8944-14AAEAA7736C}"/>
  </w:font>
  <w:font w:name="黑体">
    <w:panose1 w:val="02010609060101010101"/>
    <w:charset w:val="86"/>
    <w:family w:val="auto"/>
    <w:pitch w:val="default"/>
    <w:sig w:usb0="800002BF" w:usb1="38CF7CFA" w:usb2="00000016" w:usb3="00000000" w:csb0="00040001" w:csb1="00000000"/>
    <w:embedRegular r:id="rId2" w:fontKey="{00DCB044-3D0A-4E9F-952F-2829EB51909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F87F911D-DED6-4AC1-B762-E9BA6541EEEB}"/>
  </w:font>
  <w:font w:name="仿宋_GB2312">
    <w:panose1 w:val="02010609030101010101"/>
    <w:charset w:val="86"/>
    <w:family w:val="modern"/>
    <w:pitch w:val="default"/>
    <w:sig w:usb0="00000001" w:usb1="080E0000" w:usb2="00000000" w:usb3="00000000" w:csb0="00040000" w:csb1="00000000"/>
    <w:embedRegular r:id="rId4" w:fontKey="{8630A15C-71AE-40BD-A483-088A8BE6D531}"/>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5" w:fontKey="{F23E028E-F372-4E6C-BDAD-188FDBFB3C92}"/>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script"/>
    <w:pitch w:val="default"/>
    <w:sig w:usb0="00000001" w:usb1="080E0000" w:usb2="00000000" w:usb3="00000000" w:csb0="00040000" w:csb1="00000000"/>
    <w:embedRegular r:id="rId6" w:fontKey="{C645A312-F9AF-400C-BDF3-AEB87D23CECB}"/>
  </w:font>
  <w:font w:name="方正仿宋_GB2312">
    <w:panose1 w:val="02000000000000000000"/>
    <w:charset w:val="86"/>
    <w:family w:val="auto"/>
    <w:pitch w:val="default"/>
    <w:sig w:usb0="A00002BF" w:usb1="184F6CFA" w:usb2="00000012" w:usb3="00000000" w:csb0="00040001" w:csb1="00000000"/>
    <w:embedRegular r:id="rId7" w:fontKey="{78D8FBA6-95FA-4D34-B2B7-1965409FD31F}"/>
  </w:font>
  <w:font w:name="MS Gothic">
    <w:panose1 w:val="020B0609070205080204"/>
    <w:charset w:val="80"/>
    <w:family w:val="modern"/>
    <w:pitch w:val="default"/>
    <w:sig w:usb0="E00002FF" w:usb1="6AC7FDFB" w:usb2="08000012" w:usb3="00000000" w:csb0="4002009F" w:csb1="DFD70000"/>
    <w:embedRegular r:id="rId8" w:fontKey="{A5B6254F-3EBC-49FE-803F-DB134A1FA5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0CFB6">
    <w:pPr>
      <w:pStyle w:val="10"/>
    </w:pPr>
    <w:r>
      <mc:AlternateContent>
        <mc:Choice Requires="wps">
          <w:drawing>
            <wp:anchor distT="0" distB="0" distL="114300" distR="114300" simplePos="0" relativeHeight="251659264" behindDoc="0" locked="0" layoutInCell="1" allowOverlap="1">
              <wp:simplePos x="0" y="0"/>
              <wp:positionH relativeFrom="margin">
                <wp:posOffset>2581275</wp:posOffset>
              </wp:positionH>
              <wp:positionV relativeFrom="paragraph">
                <wp:posOffset>3810</wp:posOffset>
              </wp:positionV>
              <wp:extent cx="285750" cy="257175"/>
              <wp:effectExtent l="0" t="0" r="0" b="9525"/>
              <wp:wrapNone/>
              <wp:docPr id="2" name="文本框 2"/>
              <wp:cNvGraphicFramePr/>
              <a:graphic xmlns:a="http://schemas.openxmlformats.org/drawingml/2006/main">
                <a:graphicData uri="http://schemas.microsoft.com/office/word/2010/wordprocessingShape">
                  <wps:wsp>
                    <wps:cNvSpPr txBox="1"/>
                    <wps:spPr>
                      <a:xfrm>
                        <a:off x="0" y="0"/>
                        <a:ext cx="285750" cy="257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B23E3E">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3.25pt;margin-top:0.3pt;height:20.25pt;width:22.5pt;mso-position-horizontal-relative:margin;z-index:251659264;mso-width-relative:page;mso-height-relative:page;" filled="f" stroked="f" coordsize="21600,21600" o:gfxdata="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JhUHUfUAAAABwEAAA8AAAAAAAAAAQAgAAAAIgAAAGRycy9kb3ducmV2LnhtbFBLAQIU&#10;ABQAAAAIAIdO4kCQKvoEMAIAAFUEAAAOAAAAAAAAAAEAIAAAACMBAABkcnMvZTJvRG9jLnhtbFBL&#10;BQYAAAAABgAGAFkBAADFBQAAAAA=&#10;">
              <v:fill on="f" focussize="0,0"/>
              <v:stroke on="f" weight="0.5pt"/>
              <v:imagedata o:title=""/>
              <o:lock v:ext="edit" aspectratio="f"/>
              <v:textbox inset="0mm,0mm,0mm,0mm">
                <w:txbxContent>
                  <w:p w14:paraId="1CB23E3E">
                    <w:pPr>
                      <w:pStyle w:val="10"/>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hNGY5YzRiNjU4YWQyMmQzZDM1NmMwZmY4ZTc0OWIifQ=="/>
  </w:docVars>
  <w:rsids>
    <w:rsidRoot w:val="00172A27"/>
    <w:rsid w:val="00014CA2"/>
    <w:rsid w:val="00030DA1"/>
    <w:rsid w:val="00041D34"/>
    <w:rsid w:val="00042D95"/>
    <w:rsid w:val="0004467B"/>
    <w:rsid w:val="000467A4"/>
    <w:rsid w:val="00087FFC"/>
    <w:rsid w:val="00096932"/>
    <w:rsid w:val="000A3FEB"/>
    <w:rsid w:val="000B09EF"/>
    <w:rsid w:val="000B7759"/>
    <w:rsid w:val="000D50E6"/>
    <w:rsid w:val="000D5767"/>
    <w:rsid w:val="000E2D45"/>
    <w:rsid w:val="000E68C7"/>
    <w:rsid w:val="000F7119"/>
    <w:rsid w:val="000F753D"/>
    <w:rsid w:val="001110AE"/>
    <w:rsid w:val="0011435C"/>
    <w:rsid w:val="00167675"/>
    <w:rsid w:val="00172A27"/>
    <w:rsid w:val="00172BE7"/>
    <w:rsid w:val="00174A8E"/>
    <w:rsid w:val="0017711D"/>
    <w:rsid w:val="001873B3"/>
    <w:rsid w:val="001A68A5"/>
    <w:rsid w:val="001E52DE"/>
    <w:rsid w:val="001F0321"/>
    <w:rsid w:val="001F0467"/>
    <w:rsid w:val="001F52DB"/>
    <w:rsid w:val="002027D8"/>
    <w:rsid w:val="00224BB9"/>
    <w:rsid w:val="00251E42"/>
    <w:rsid w:val="002555AE"/>
    <w:rsid w:val="00270136"/>
    <w:rsid w:val="00275DBA"/>
    <w:rsid w:val="00293DBA"/>
    <w:rsid w:val="002A0204"/>
    <w:rsid w:val="002A0F93"/>
    <w:rsid w:val="002C6AD7"/>
    <w:rsid w:val="002D5F46"/>
    <w:rsid w:val="002E7C3A"/>
    <w:rsid w:val="003129C2"/>
    <w:rsid w:val="003129EC"/>
    <w:rsid w:val="00341EA1"/>
    <w:rsid w:val="00346E74"/>
    <w:rsid w:val="00353739"/>
    <w:rsid w:val="0035523B"/>
    <w:rsid w:val="0036126B"/>
    <w:rsid w:val="003634F7"/>
    <w:rsid w:val="0036568D"/>
    <w:rsid w:val="00382EE0"/>
    <w:rsid w:val="00386013"/>
    <w:rsid w:val="003904E4"/>
    <w:rsid w:val="003A26E0"/>
    <w:rsid w:val="003B1BF7"/>
    <w:rsid w:val="003B5F67"/>
    <w:rsid w:val="003E0E3F"/>
    <w:rsid w:val="003F5008"/>
    <w:rsid w:val="004055A8"/>
    <w:rsid w:val="0042561D"/>
    <w:rsid w:val="00426D56"/>
    <w:rsid w:val="004271DD"/>
    <w:rsid w:val="00431DA6"/>
    <w:rsid w:val="00436A9B"/>
    <w:rsid w:val="0047503A"/>
    <w:rsid w:val="004A1958"/>
    <w:rsid w:val="004A6DAF"/>
    <w:rsid w:val="004D6420"/>
    <w:rsid w:val="004E0B47"/>
    <w:rsid w:val="004F3203"/>
    <w:rsid w:val="00515563"/>
    <w:rsid w:val="00521AA3"/>
    <w:rsid w:val="0053727D"/>
    <w:rsid w:val="0054055B"/>
    <w:rsid w:val="00544A28"/>
    <w:rsid w:val="005464E9"/>
    <w:rsid w:val="00560399"/>
    <w:rsid w:val="00566A3F"/>
    <w:rsid w:val="005929EE"/>
    <w:rsid w:val="00593146"/>
    <w:rsid w:val="005A4A2C"/>
    <w:rsid w:val="005A50F0"/>
    <w:rsid w:val="005D5F21"/>
    <w:rsid w:val="00611479"/>
    <w:rsid w:val="0062107E"/>
    <w:rsid w:val="00624DD6"/>
    <w:rsid w:val="00627477"/>
    <w:rsid w:val="006310AC"/>
    <w:rsid w:val="006428C1"/>
    <w:rsid w:val="006507DA"/>
    <w:rsid w:val="00653D1F"/>
    <w:rsid w:val="00663975"/>
    <w:rsid w:val="00674565"/>
    <w:rsid w:val="0067757A"/>
    <w:rsid w:val="00690DF0"/>
    <w:rsid w:val="006B4855"/>
    <w:rsid w:val="006B4E70"/>
    <w:rsid w:val="006B6E92"/>
    <w:rsid w:val="006D3A80"/>
    <w:rsid w:val="00727260"/>
    <w:rsid w:val="00730A13"/>
    <w:rsid w:val="00731FB9"/>
    <w:rsid w:val="00741463"/>
    <w:rsid w:val="00741A7E"/>
    <w:rsid w:val="0075275F"/>
    <w:rsid w:val="00760C55"/>
    <w:rsid w:val="00763F98"/>
    <w:rsid w:val="0077217C"/>
    <w:rsid w:val="0077525B"/>
    <w:rsid w:val="007A3C87"/>
    <w:rsid w:val="007A7050"/>
    <w:rsid w:val="007B7FC8"/>
    <w:rsid w:val="007C1B38"/>
    <w:rsid w:val="007C2952"/>
    <w:rsid w:val="007E45C0"/>
    <w:rsid w:val="00807AD7"/>
    <w:rsid w:val="00811030"/>
    <w:rsid w:val="00824CED"/>
    <w:rsid w:val="00835B85"/>
    <w:rsid w:val="00854FA9"/>
    <w:rsid w:val="008600A3"/>
    <w:rsid w:val="008663EA"/>
    <w:rsid w:val="00866EAA"/>
    <w:rsid w:val="0088740A"/>
    <w:rsid w:val="008C0A97"/>
    <w:rsid w:val="008C43FA"/>
    <w:rsid w:val="008E0D32"/>
    <w:rsid w:val="008F1B3F"/>
    <w:rsid w:val="009227E4"/>
    <w:rsid w:val="009336BA"/>
    <w:rsid w:val="009378A1"/>
    <w:rsid w:val="00983AA5"/>
    <w:rsid w:val="0098491E"/>
    <w:rsid w:val="00996644"/>
    <w:rsid w:val="00997E10"/>
    <w:rsid w:val="009A7D51"/>
    <w:rsid w:val="009E5493"/>
    <w:rsid w:val="00A01B6A"/>
    <w:rsid w:val="00A1796C"/>
    <w:rsid w:val="00A24742"/>
    <w:rsid w:val="00A25513"/>
    <w:rsid w:val="00A35297"/>
    <w:rsid w:val="00A427A1"/>
    <w:rsid w:val="00A564B2"/>
    <w:rsid w:val="00A62EF8"/>
    <w:rsid w:val="00A707D9"/>
    <w:rsid w:val="00A71EF3"/>
    <w:rsid w:val="00AA2F23"/>
    <w:rsid w:val="00AD2ABC"/>
    <w:rsid w:val="00AE3410"/>
    <w:rsid w:val="00B15A5E"/>
    <w:rsid w:val="00B15C5B"/>
    <w:rsid w:val="00B360AF"/>
    <w:rsid w:val="00B468BF"/>
    <w:rsid w:val="00B55B61"/>
    <w:rsid w:val="00B7525C"/>
    <w:rsid w:val="00B76866"/>
    <w:rsid w:val="00B768A6"/>
    <w:rsid w:val="00B96DC6"/>
    <w:rsid w:val="00BA5B61"/>
    <w:rsid w:val="00BA7331"/>
    <w:rsid w:val="00BB2EAA"/>
    <w:rsid w:val="00BC2031"/>
    <w:rsid w:val="00BE4FE2"/>
    <w:rsid w:val="00BF3C60"/>
    <w:rsid w:val="00C020B7"/>
    <w:rsid w:val="00C049B7"/>
    <w:rsid w:val="00C06984"/>
    <w:rsid w:val="00C11F30"/>
    <w:rsid w:val="00C235B8"/>
    <w:rsid w:val="00C343A6"/>
    <w:rsid w:val="00C41920"/>
    <w:rsid w:val="00C55E91"/>
    <w:rsid w:val="00C57437"/>
    <w:rsid w:val="00C61008"/>
    <w:rsid w:val="00C8535F"/>
    <w:rsid w:val="00C940A4"/>
    <w:rsid w:val="00CA1A0B"/>
    <w:rsid w:val="00CA3D03"/>
    <w:rsid w:val="00CA5A9F"/>
    <w:rsid w:val="00CA66E2"/>
    <w:rsid w:val="00CC513D"/>
    <w:rsid w:val="00CD050A"/>
    <w:rsid w:val="00D00DDE"/>
    <w:rsid w:val="00D177B4"/>
    <w:rsid w:val="00D21671"/>
    <w:rsid w:val="00D40F35"/>
    <w:rsid w:val="00D463A3"/>
    <w:rsid w:val="00D53DD5"/>
    <w:rsid w:val="00D82A68"/>
    <w:rsid w:val="00D958CB"/>
    <w:rsid w:val="00DB059B"/>
    <w:rsid w:val="00DB4854"/>
    <w:rsid w:val="00DC2AD0"/>
    <w:rsid w:val="00DE56DF"/>
    <w:rsid w:val="00DF468B"/>
    <w:rsid w:val="00E24326"/>
    <w:rsid w:val="00E30CE3"/>
    <w:rsid w:val="00E434FE"/>
    <w:rsid w:val="00E726E5"/>
    <w:rsid w:val="00E76A57"/>
    <w:rsid w:val="00E96E54"/>
    <w:rsid w:val="00EB0BE1"/>
    <w:rsid w:val="00EC0483"/>
    <w:rsid w:val="00ED3CD3"/>
    <w:rsid w:val="00EF1F40"/>
    <w:rsid w:val="00F01CA6"/>
    <w:rsid w:val="00F3195E"/>
    <w:rsid w:val="00F35AF5"/>
    <w:rsid w:val="00F5436A"/>
    <w:rsid w:val="00F64CCE"/>
    <w:rsid w:val="00F6794F"/>
    <w:rsid w:val="00F735A8"/>
    <w:rsid w:val="00FA2B61"/>
    <w:rsid w:val="00FB3A6D"/>
    <w:rsid w:val="012224F8"/>
    <w:rsid w:val="022E6CDE"/>
    <w:rsid w:val="02DD30E7"/>
    <w:rsid w:val="047407AB"/>
    <w:rsid w:val="05900FD6"/>
    <w:rsid w:val="05C87F3A"/>
    <w:rsid w:val="062736E9"/>
    <w:rsid w:val="06D80B10"/>
    <w:rsid w:val="077C22D7"/>
    <w:rsid w:val="07D654D5"/>
    <w:rsid w:val="07F27D26"/>
    <w:rsid w:val="083206B8"/>
    <w:rsid w:val="08381D05"/>
    <w:rsid w:val="085B1D6F"/>
    <w:rsid w:val="08A7404B"/>
    <w:rsid w:val="09AA1703"/>
    <w:rsid w:val="09B81FF8"/>
    <w:rsid w:val="09FB55B8"/>
    <w:rsid w:val="0AA2040E"/>
    <w:rsid w:val="0AF81B05"/>
    <w:rsid w:val="0B1F2F4E"/>
    <w:rsid w:val="0BC40159"/>
    <w:rsid w:val="0BD14403"/>
    <w:rsid w:val="0BFF3B0E"/>
    <w:rsid w:val="0DC161D1"/>
    <w:rsid w:val="0E1307B0"/>
    <w:rsid w:val="0E1C39FC"/>
    <w:rsid w:val="0E76520D"/>
    <w:rsid w:val="0EA93835"/>
    <w:rsid w:val="0FFE44B9"/>
    <w:rsid w:val="107D345A"/>
    <w:rsid w:val="11380EA0"/>
    <w:rsid w:val="11986323"/>
    <w:rsid w:val="11996010"/>
    <w:rsid w:val="11E46932"/>
    <w:rsid w:val="120B0362"/>
    <w:rsid w:val="13757CBD"/>
    <w:rsid w:val="13C976AE"/>
    <w:rsid w:val="13D9789A"/>
    <w:rsid w:val="144722EC"/>
    <w:rsid w:val="154C5373"/>
    <w:rsid w:val="15843434"/>
    <w:rsid w:val="16CA7F95"/>
    <w:rsid w:val="16FD0047"/>
    <w:rsid w:val="19600F94"/>
    <w:rsid w:val="19904ED2"/>
    <w:rsid w:val="19EC297C"/>
    <w:rsid w:val="1A144D7F"/>
    <w:rsid w:val="1A267164"/>
    <w:rsid w:val="1A3B730B"/>
    <w:rsid w:val="1A607615"/>
    <w:rsid w:val="1AF851FC"/>
    <w:rsid w:val="1C3F4EAB"/>
    <w:rsid w:val="1C417A87"/>
    <w:rsid w:val="1C7A2A16"/>
    <w:rsid w:val="1D5D471C"/>
    <w:rsid w:val="1D707AC8"/>
    <w:rsid w:val="1D8D60CF"/>
    <w:rsid w:val="1DEA52D0"/>
    <w:rsid w:val="1E0E57FB"/>
    <w:rsid w:val="1EC021F7"/>
    <w:rsid w:val="1EF84DBA"/>
    <w:rsid w:val="1EFD252E"/>
    <w:rsid w:val="1F882656"/>
    <w:rsid w:val="1FB262C1"/>
    <w:rsid w:val="21D918C4"/>
    <w:rsid w:val="22C829A6"/>
    <w:rsid w:val="2333514E"/>
    <w:rsid w:val="245C4C97"/>
    <w:rsid w:val="25203CCD"/>
    <w:rsid w:val="25780FD4"/>
    <w:rsid w:val="25E35426"/>
    <w:rsid w:val="27343A60"/>
    <w:rsid w:val="27FF3EFE"/>
    <w:rsid w:val="282C6B05"/>
    <w:rsid w:val="28D41525"/>
    <w:rsid w:val="28F96F35"/>
    <w:rsid w:val="29161C3B"/>
    <w:rsid w:val="29A2565C"/>
    <w:rsid w:val="29F80D74"/>
    <w:rsid w:val="2B6E42C9"/>
    <w:rsid w:val="2B743120"/>
    <w:rsid w:val="2B807F49"/>
    <w:rsid w:val="2C0C5DB9"/>
    <w:rsid w:val="2CD260FA"/>
    <w:rsid w:val="2E020414"/>
    <w:rsid w:val="2E314855"/>
    <w:rsid w:val="2E6C5345"/>
    <w:rsid w:val="2E920577"/>
    <w:rsid w:val="2F727962"/>
    <w:rsid w:val="33017470"/>
    <w:rsid w:val="337049DB"/>
    <w:rsid w:val="34E47C6D"/>
    <w:rsid w:val="35AD5AF3"/>
    <w:rsid w:val="36C73FA8"/>
    <w:rsid w:val="36F54FB9"/>
    <w:rsid w:val="37B7570B"/>
    <w:rsid w:val="38D43E1A"/>
    <w:rsid w:val="38F52C52"/>
    <w:rsid w:val="3900076E"/>
    <w:rsid w:val="392A6A70"/>
    <w:rsid w:val="398400BE"/>
    <w:rsid w:val="3A3C7179"/>
    <w:rsid w:val="3B44206B"/>
    <w:rsid w:val="3C4147FD"/>
    <w:rsid w:val="3D0B1BDC"/>
    <w:rsid w:val="3F0A649A"/>
    <w:rsid w:val="3F2F6BCA"/>
    <w:rsid w:val="40C94C89"/>
    <w:rsid w:val="415015B9"/>
    <w:rsid w:val="41BA303A"/>
    <w:rsid w:val="42257CFA"/>
    <w:rsid w:val="42EE2D93"/>
    <w:rsid w:val="43E513CA"/>
    <w:rsid w:val="440B3168"/>
    <w:rsid w:val="45C3727B"/>
    <w:rsid w:val="460D74FE"/>
    <w:rsid w:val="46E82862"/>
    <w:rsid w:val="46FE3360"/>
    <w:rsid w:val="47FB1260"/>
    <w:rsid w:val="484E52F9"/>
    <w:rsid w:val="48CF6744"/>
    <w:rsid w:val="49402257"/>
    <w:rsid w:val="4A844244"/>
    <w:rsid w:val="4B4614E8"/>
    <w:rsid w:val="4B591595"/>
    <w:rsid w:val="4BCF5DC4"/>
    <w:rsid w:val="4BDA5581"/>
    <w:rsid w:val="4C004000"/>
    <w:rsid w:val="4D1A4ED3"/>
    <w:rsid w:val="4D302450"/>
    <w:rsid w:val="4D407471"/>
    <w:rsid w:val="4DE913A9"/>
    <w:rsid w:val="4E380649"/>
    <w:rsid w:val="4E620FCD"/>
    <w:rsid w:val="4F9A4731"/>
    <w:rsid w:val="50B213CE"/>
    <w:rsid w:val="515D3978"/>
    <w:rsid w:val="51DB218A"/>
    <w:rsid w:val="526A08D2"/>
    <w:rsid w:val="52B256B5"/>
    <w:rsid w:val="531B0A73"/>
    <w:rsid w:val="53326DD8"/>
    <w:rsid w:val="536B2FE6"/>
    <w:rsid w:val="54814026"/>
    <w:rsid w:val="54AB2899"/>
    <w:rsid w:val="54D74CB2"/>
    <w:rsid w:val="55157550"/>
    <w:rsid w:val="55235853"/>
    <w:rsid w:val="554D1A31"/>
    <w:rsid w:val="55BF0E8C"/>
    <w:rsid w:val="55CE1AA9"/>
    <w:rsid w:val="55F862C5"/>
    <w:rsid w:val="57366B56"/>
    <w:rsid w:val="57CC3FD6"/>
    <w:rsid w:val="58BF6D7E"/>
    <w:rsid w:val="58D723E3"/>
    <w:rsid w:val="591E5852"/>
    <w:rsid w:val="596F2D8B"/>
    <w:rsid w:val="59814F23"/>
    <w:rsid w:val="5A1645DA"/>
    <w:rsid w:val="5D347D3A"/>
    <w:rsid w:val="5E5977EA"/>
    <w:rsid w:val="5ECF75EF"/>
    <w:rsid w:val="5F1C6A9B"/>
    <w:rsid w:val="5FBC5DC5"/>
    <w:rsid w:val="6017749F"/>
    <w:rsid w:val="60242D5D"/>
    <w:rsid w:val="60E24467"/>
    <w:rsid w:val="619B6794"/>
    <w:rsid w:val="61EC6F36"/>
    <w:rsid w:val="62D13935"/>
    <w:rsid w:val="63864720"/>
    <w:rsid w:val="64097240"/>
    <w:rsid w:val="64AD3E80"/>
    <w:rsid w:val="64EF2799"/>
    <w:rsid w:val="65046244"/>
    <w:rsid w:val="660304E3"/>
    <w:rsid w:val="672F50CE"/>
    <w:rsid w:val="674C5428"/>
    <w:rsid w:val="67E0736C"/>
    <w:rsid w:val="683411F3"/>
    <w:rsid w:val="69C441F4"/>
    <w:rsid w:val="6AD04092"/>
    <w:rsid w:val="6C9A123C"/>
    <w:rsid w:val="6D836174"/>
    <w:rsid w:val="6D9A53C8"/>
    <w:rsid w:val="6E275496"/>
    <w:rsid w:val="6E2B0BE2"/>
    <w:rsid w:val="6E327A2A"/>
    <w:rsid w:val="6E7170AF"/>
    <w:rsid w:val="70091DE5"/>
    <w:rsid w:val="70187047"/>
    <w:rsid w:val="7019691C"/>
    <w:rsid w:val="71134414"/>
    <w:rsid w:val="714A2FC5"/>
    <w:rsid w:val="71F60C84"/>
    <w:rsid w:val="71F81A9F"/>
    <w:rsid w:val="736F63D2"/>
    <w:rsid w:val="73BC418E"/>
    <w:rsid w:val="749A6784"/>
    <w:rsid w:val="751B4EE4"/>
    <w:rsid w:val="7591106A"/>
    <w:rsid w:val="75C34D0E"/>
    <w:rsid w:val="773C2673"/>
    <w:rsid w:val="78526E6F"/>
    <w:rsid w:val="78B31BEE"/>
    <w:rsid w:val="78CD4747"/>
    <w:rsid w:val="79CB512B"/>
    <w:rsid w:val="7AC611EE"/>
    <w:rsid w:val="7BEF1922"/>
    <w:rsid w:val="7C103E9B"/>
    <w:rsid w:val="7C6E01E7"/>
    <w:rsid w:val="7C835849"/>
    <w:rsid w:val="7DAA194E"/>
    <w:rsid w:val="7E026C41"/>
    <w:rsid w:val="7E190142"/>
    <w:rsid w:val="7E3603C4"/>
    <w:rsid w:val="7E98251D"/>
    <w:rsid w:val="7EAA7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link w:val="95"/>
    <w:qFormat/>
    <w:uiPriority w:val="0"/>
    <w:pPr>
      <w:keepNext/>
      <w:keepLines/>
      <w:snapToGrid w:val="0"/>
      <w:spacing w:before="20" w:beforeLines="20" w:after="20" w:afterLines="20" w:line="360" w:lineRule="auto"/>
      <w:ind w:firstLine="200" w:firstLineChars="200"/>
      <w:outlineLvl w:val="0"/>
    </w:pPr>
    <w:rPr>
      <w:rFonts w:eastAsia="黑体"/>
      <w:bCs/>
      <w:kern w:val="44"/>
      <w:szCs w:val="44"/>
    </w:rPr>
  </w:style>
  <w:style w:type="paragraph" w:styleId="3">
    <w:name w:val="heading 2"/>
    <w:basedOn w:val="1"/>
    <w:next w:val="1"/>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Cs w:val="32"/>
    </w:rPr>
  </w:style>
  <w:style w:type="paragraph" w:styleId="4">
    <w:name w:val="heading 3"/>
    <w:basedOn w:val="1"/>
    <w:next w:val="1"/>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toa heading"/>
    <w:basedOn w:val="1"/>
    <w:next w:val="1"/>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sz w:val="28"/>
    </w:rPr>
  </w:style>
  <w:style w:type="paragraph" w:styleId="7">
    <w:name w:val="Body Text Indent"/>
    <w:basedOn w:val="1"/>
    <w:link w:val="20"/>
    <w:qFormat/>
    <w:uiPriority w:val="0"/>
    <w:pPr>
      <w:spacing w:line="560" w:lineRule="exact"/>
      <w:ind w:firstLine="640" w:firstLineChars="200"/>
    </w:pPr>
  </w:style>
  <w:style w:type="paragraph" w:styleId="8">
    <w:name w:val="toc 3"/>
    <w:basedOn w:val="1"/>
    <w:next w:val="1"/>
    <w:autoRedefine/>
    <w:unhideWhenUsed/>
    <w:qFormat/>
    <w:uiPriority w:val="39"/>
    <w:pPr>
      <w:widowControl/>
      <w:spacing w:after="100" w:line="259" w:lineRule="auto"/>
      <w:ind w:left="440"/>
      <w:jc w:val="left"/>
    </w:pPr>
    <w:rPr>
      <w:rFonts w:asciiTheme="minorHAnsi" w:hAnsiTheme="minorHAnsi" w:eastAsiaTheme="minorEastAsia"/>
      <w:kern w:val="0"/>
      <w:sz w:val="22"/>
    </w:rPr>
  </w:style>
  <w:style w:type="paragraph" w:styleId="9">
    <w:name w:val="Balloon Text"/>
    <w:basedOn w:val="1"/>
    <w:link w:val="26"/>
    <w:qFormat/>
    <w:uiPriority w:val="0"/>
    <w:rPr>
      <w:sz w:val="18"/>
      <w:szCs w:val="18"/>
    </w:rPr>
  </w:style>
  <w:style w:type="paragraph" w:styleId="10">
    <w:name w:val="footer"/>
    <w:basedOn w:val="1"/>
    <w:link w:val="21"/>
    <w:qFormat/>
    <w:uiPriority w:val="0"/>
    <w:pPr>
      <w:tabs>
        <w:tab w:val="center" w:pos="4153"/>
        <w:tab w:val="right" w:pos="8306"/>
      </w:tabs>
      <w:snapToGrid w:val="0"/>
      <w:jc w:val="left"/>
    </w:pPr>
    <w:rPr>
      <w:sz w:val="18"/>
    </w:rPr>
  </w:style>
  <w:style w:type="paragraph" w:styleId="11">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snapToGrid w:val="0"/>
      <w:spacing w:line="360" w:lineRule="auto"/>
    </w:pPr>
    <w:rPr>
      <w:rFonts w:eastAsia="宋体"/>
      <w:sz w:val="24"/>
    </w:rPr>
  </w:style>
  <w:style w:type="paragraph" w:styleId="13">
    <w:name w:val="toc 2"/>
    <w:basedOn w:val="1"/>
    <w:next w:val="1"/>
    <w:qFormat/>
    <w:uiPriority w:val="39"/>
    <w:pPr>
      <w:snapToGrid w:val="0"/>
      <w:spacing w:line="360" w:lineRule="auto"/>
      <w:ind w:left="200" w:leftChars="200"/>
    </w:pPr>
    <w:rPr>
      <w:rFonts w:eastAsia="宋体"/>
      <w:sz w:val="24"/>
    </w:rPr>
  </w:style>
  <w:style w:type="paragraph" w:styleId="14">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unhideWhenUsed/>
    <w:qFormat/>
    <w:uiPriority w:val="99"/>
    <w:rPr>
      <w:color w:val="800080"/>
      <w:u w:val="single"/>
    </w:rPr>
  </w:style>
  <w:style w:type="character" w:styleId="19">
    <w:name w:val="Hyperlink"/>
    <w:basedOn w:val="17"/>
    <w:unhideWhenUsed/>
    <w:qFormat/>
    <w:uiPriority w:val="99"/>
    <w:rPr>
      <w:color w:val="0000FF"/>
      <w:u w:val="single"/>
    </w:rPr>
  </w:style>
  <w:style w:type="character" w:customStyle="1" w:styleId="20">
    <w:name w:val="正文文本缩进 字符"/>
    <w:link w:val="7"/>
    <w:qFormat/>
    <w:uiPriority w:val="0"/>
    <w:rPr>
      <w:rFonts w:ascii="Times New Roman" w:hAnsi="Times New Roman" w:eastAsia="仿宋_GB2312" w:cs="Times New Roman"/>
      <w:kern w:val="2"/>
      <w:sz w:val="32"/>
      <w:szCs w:val="22"/>
    </w:rPr>
  </w:style>
  <w:style w:type="character" w:customStyle="1" w:styleId="21">
    <w:name w:val="页脚 字符"/>
    <w:basedOn w:val="17"/>
    <w:link w:val="10"/>
    <w:qFormat/>
    <w:uiPriority w:val="99"/>
    <w:rPr>
      <w:rFonts w:ascii="Times New Roman" w:hAnsi="Times New Roman" w:eastAsia="仿宋_GB2312" w:cs="Times New Roman"/>
      <w:kern w:val="2"/>
      <w:sz w:val="18"/>
      <w:szCs w:val="22"/>
    </w:rPr>
  </w:style>
  <w:style w:type="character" w:customStyle="1" w:styleId="22">
    <w:name w:val="页眉 字符"/>
    <w:basedOn w:val="17"/>
    <w:link w:val="11"/>
    <w:qFormat/>
    <w:uiPriority w:val="0"/>
    <w:rPr>
      <w:rFonts w:ascii="Times New Roman" w:hAnsi="Times New Roman" w:eastAsia="仿宋_GB2312" w:cs="Times New Roman"/>
      <w:kern w:val="2"/>
      <w:sz w:val="18"/>
      <w:szCs w:val="18"/>
    </w:rPr>
  </w:style>
  <w:style w:type="paragraph" w:customStyle="1" w:styleId="23">
    <w:name w:val="样式1"/>
    <w:basedOn w:val="10"/>
    <w:qFormat/>
    <w:uiPriority w:val="0"/>
    <w:rPr>
      <w:rFonts w:ascii="Noto Sans CJK JP Regular" w:hAnsi="Noto Sans CJK JP Regular" w:eastAsia="宋体" w:cs="Noto Sans CJK JP Regular"/>
      <w:lang w:eastAsia="en-US"/>
    </w:rPr>
  </w:style>
  <w:style w:type="paragraph" w:customStyle="1" w:styleId="24">
    <w:name w:val="常规正文格式"/>
    <w:basedOn w:val="1"/>
    <w:qFormat/>
    <w:uiPriority w:val="0"/>
    <w:pPr>
      <w:widowControl/>
      <w:ind w:firstLine="640" w:firstLineChars="200"/>
    </w:pPr>
    <w:rPr>
      <w:bCs/>
      <w:color w:val="000000"/>
      <w:kern w:val="0"/>
      <w:szCs w:val="32"/>
    </w:rPr>
  </w:style>
  <w:style w:type="paragraph" w:customStyle="1" w:styleId="25">
    <w:name w:val="学生论文正文格式"/>
    <w:basedOn w:val="1"/>
    <w:qFormat/>
    <w:uiPriority w:val="0"/>
    <w:pPr>
      <w:ind w:firstLine="480" w:firstLineChars="200"/>
    </w:pPr>
    <w:rPr>
      <w:rFonts w:hint="eastAsia" w:eastAsia="宋体"/>
      <w:sz w:val="24"/>
    </w:rPr>
  </w:style>
  <w:style w:type="character" w:customStyle="1" w:styleId="26">
    <w:name w:val="批注框文本 字符"/>
    <w:basedOn w:val="17"/>
    <w:link w:val="9"/>
    <w:qFormat/>
    <w:uiPriority w:val="0"/>
    <w:rPr>
      <w:rFonts w:ascii="Times New Roman" w:hAnsi="Times New Roman" w:eastAsia="仿宋_GB2312" w:cs="Times New Roman"/>
      <w:kern w:val="2"/>
      <w:sz w:val="18"/>
      <w:szCs w:val="18"/>
    </w:rPr>
  </w:style>
  <w:style w:type="paragraph" w:customStyle="1" w:styleId="27">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8">
    <w:name w:val="font6"/>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29">
    <w:name w:val="xl105"/>
    <w:basedOn w:val="1"/>
    <w:qFormat/>
    <w:uiPriority w:val="0"/>
    <w:pPr>
      <w:widowControl/>
      <w:spacing w:before="100" w:beforeAutospacing="1" w:after="100" w:afterAutospacing="1"/>
      <w:jc w:val="center"/>
    </w:pPr>
    <w:rPr>
      <w:rFonts w:ascii="宋体" w:hAnsi="宋体" w:eastAsia="宋体" w:cs="宋体"/>
      <w:color w:val="FF0000"/>
      <w:kern w:val="0"/>
      <w:sz w:val="24"/>
      <w:szCs w:val="24"/>
    </w:rPr>
  </w:style>
  <w:style w:type="paragraph" w:customStyle="1" w:styleId="30">
    <w:name w:val="xl10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1">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CD5B4"/>
      <w:spacing w:before="100" w:beforeAutospacing="1" w:after="100" w:afterAutospacing="1"/>
      <w:jc w:val="center"/>
    </w:pPr>
    <w:rPr>
      <w:rFonts w:ascii="宋体" w:hAnsi="宋体" w:eastAsia="宋体" w:cs="宋体"/>
      <w:b/>
      <w:bCs/>
      <w:kern w:val="0"/>
      <w:sz w:val="16"/>
      <w:szCs w:val="16"/>
    </w:rPr>
  </w:style>
  <w:style w:type="paragraph" w:customStyle="1" w:styleId="32">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33">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34">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eastAsia="宋体" w:cs="宋体"/>
      <w:b/>
      <w:bCs/>
      <w:kern w:val="0"/>
      <w:sz w:val="16"/>
      <w:szCs w:val="16"/>
    </w:rPr>
  </w:style>
  <w:style w:type="paragraph" w:customStyle="1" w:styleId="35">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36">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37">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38">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39">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40">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41">
    <w:name w:val="xl117"/>
    <w:basedOn w:val="1"/>
    <w:qFormat/>
    <w:uiPriority w:val="0"/>
    <w:pPr>
      <w:widowControl/>
      <w:spacing w:before="100" w:beforeAutospacing="1" w:after="100" w:afterAutospacing="1"/>
      <w:jc w:val="center"/>
    </w:pPr>
    <w:rPr>
      <w:rFonts w:ascii="宋体" w:hAnsi="宋体" w:eastAsia="宋体" w:cs="宋体"/>
      <w:kern w:val="0"/>
      <w:sz w:val="16"/>
      <w:szCs w:val="16"/>
    </w:rPr>
  </w:style>
  <w:style w:type="paragraph" w:customStyle="1" w:styleId="42">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43">
    <w:name w:val="xl119"/>
    <w:basedOn w:val="1"/>
    <w:qFormat/>
    <w:uiPriority w:val="0"/>
    <w:pPr>
      <w:widowControl/>
      <w:spacing w:before="100" w:beforeAutospacing="1" w:after="100" w:afterAutospacing="1"/>
      <w:jc w:val="center"/>
    </w:pPr>
    <w:rPr>
      <w:rFonts w:ascii="宋体" w:hAnsi="宋体" w:eastAsia="宋体" w:cs="宋体"/>
      <w:kern w:val="0"/>
      <w:sz w:val="16"/>
      <w:szCs w:val="16"/>
    </w:rPr>
  </w:style>
  <w:style w:type="paragraph" w:customStyle="1" w:styleId="44">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45">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FF0000"/>
      <w:kern w:val="0"/>
      <w:sz w:val="16"/>
      <w:szCs w:val="16"/>
    </w:rPr>
  </w:style>
  <w:style w:type="paragraph" w:customStyle="1" w:styleId="46">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47">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48">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eastAsia="宋体" w:cs="宋体"/>
      <w:b/>
      <w:bCs/>
      <w:kern w:val="0"/>
      <w:sz w:val="16"/>
      <w:szCs w:val="16"/>
    </w:rPr>
  </w:style>
  <w:style w:type="paragraph" w:customStyle="1" w:styleId="49">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eastAsia="宋体" w:cs="宋体"/>
      <w:b/>
      <w:bCs/>
      <w:kern w:val="0"/>
      <w:sz w:val="16"/>
      <w:szCs w:val="16"/>
    </w:rPr>
  </w:style>
  <w:style w:type="paragraph" w:customStyle="1" w:styleId="50">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51">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52">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FF0000"/>
      <w:kern w:val="0"/>
      <w:sz w:val="16"/>
      <w:szCs w:val="16"/>
    </w:rPr>
  </w:style>
  <w:style w:type="paragraph" w:customStyle="1" w:styleId="53">
    <w:name w:val="xl129"/>
    <w:basedOn w:val="1"/>
    <w:qFormat/>
    <w:uiPriority w:val="0"/>
    <w:pPr>
      <w:widowControl/>
      <w:pBdr>
        <w:top w:val="single" w:color="auto" w:sz="4" w:space="0"/>
        <w:left w:val="single" w:color="auto" w:sz="4" w:space="0"/>
        <w:right w:val="single" w:color="auto" w:sz="4" w:space="0"/>
      </w:pBdr>
      <w:shd w:val="clear" w:color="000000" w:fill="FCD5B4"/>
      <w:spacing w:before="100" w:beforeAutospacing="1" w:after="100" w:afterAutospacing="1"/>
      <w:jc w:val="center"/>
    </w:pPr>
    <w:rPr>
      <w:rFonts w:ascii="宋体" w:hAnsi="宋体" w:eastAsia="宋体" w:cs="宋体"/>
      <w:b/>
      <w:bCs/>
      <w:kern w:val="0"/>
      <w:sz w:val="16"/>
      <w:szCs w:val="16"/>
    </w:rPr>
  </w:style>
  <w:style w:type="paragraph" w:customStyle="1" w:styleId="54">
    <w:name w:val="xl130"/>
    <w:basedOn w:val="1"/>
    <w:qFormat/>
    <w:uiPriority w:val="0"/>
    <w:pPr>
      <w:widowControl/>
      <w:pBdr>
        <w:left w:val="single" w:color="auto" w:sz="4" w:space="0"/>
        <w:bottom w:val="single" w:color="auto" w:sz="4" w:space="0"/>
        <w:right w:val="single" w:color="auto" w:sz="4" w:space="0"/>
      </w:pBdr>
      <w:shd w:val="clear" w:color="000000" w:fill="FCD5B4"/>
      <w:spacing w:before="100" w:beforeAutospacing="1" w:after="100" w:afterAutospacing="1"/>
      <w:jc w:val="center"/>
    </w:pPr>
    <w:rPr>
      <w:rFonts w:ascii="宋体" w:hAnsi="宋体" w:eastAsia="宋体" w:cs="宋体"/>
      <w:b/>
      <w:bCs/>
      <w:kern w:val="0"/>
      <w:sz w:val="16"/>
      <w:szCs w:val="16"/>
    </w:rPr>
  </w:style>
  <w:style w:type="paragraph" w:customStyle="1" w:styleId="55">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56">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8"/>
      <w:szCs w:val="18"/>
    </w:rPr>
  </w:style>
  <w:style w:type="paragraph" w:customStyle="1" w:styleId="57">
    <w:name w:val="xl133"/>
    <w:basedOn w:val="1"/>
    <w:qFormat/>
    <w:uiPriority w:val="0"/>
    <w:pPr>
      <w:widowControl/>
      <w:pBdr>
        <w:top w:val="single" w:color="auto" w:sz="4" w:space="0"/>
        <w:left w:val="single" w:color="auto" w:sz="4" w:space="0"/>
        <w:right w:val="single" w:color="auto" w:sz="4" w:space="0"/>
      </w:pBdr>
      <w:shd w:val="clear" w:color="000000" w:fill="FCD5B4"/>
      <w:spacing w:before="100" w:beforeAutospacing="1" w:after="100" w:afterAutospacing="1"/>
      <w:jc w:val="left"/>
    </w:pPr>
    <w:rPr>
      <w:rFonts w:ascii="宋体" w:hAnsi="宋体" w:eastAsia="宋体" w:cs="宋体"/>
      <w:b/>
      <w:bCs/>
      <w:kern w:val="0"/>
      <w:sz w:val="16"/>
      <w:szCs w:val="16"/>
    </w:rPr>
  </w:style>
  <w:style w:type="paragraph" w:customStyle="1" w:styleId="58">
    <w:name w:val="xl134"/>
    <w:basedOn w:val="1"/>
    <w:qFormat/>
    <w:uiPriority w:val="0"/>
    <w:pPr>
      <w:widowControl/>
      <w:pBdr>
        <w:left w:val="single" w:color="auto" w:sz="4" w:space="0"/>
        <w:bottom w:val="single" w:color="auto" w:sz="4" w:space="0"/>
        <w:right w:val="single" w:color="auto" w:sz="4" w:space="0"/>
      </w:pBdr>
      <w:shd w:val="clear" w:color="000000" w:fill="FCD5B4"/>
      <w:spacing w:before="100" w:beforeAutospacing="1" w:after="100" w:afterAutospacing="1"/>
      <w:jc w:val="left"/>
    </w:pPr>
    <w:rPr>
      <w:rFonts w:ascii="宋体" w:hAnsi="宋体" w:eastAsia="宋体" w:cs="宋体"/>
      <w:b/>
      <w:bCs/>
      <w:kern w:val="0"/>
      <w:sz w:val="16"/>
      <w:szCs w:val="16"/>
    </w:rPr>
  </w:style>
  <w:style w:type="paragraph" w:customStyle="1" w:styleId="59">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60">
    <w:name w:val="xl13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61">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62">
    <w:name w:val="xl138"/>
    <w:basedOn w:val="1"/>
    <w:qFormat/>
    <w:uiPriority w:val="0"/>
    <w:pPr>
      <w:widowControl/>
      <w:pBdr>
        <w:left w:val="single" w:color="auto" w:sz="4" w:space="0"/>
        <w:right w:val="single" w:color="auto" w:sz="4" w:space="0"/>
      </w:pBdr>
      <w:shd w:val="clear" w:color="000000" w:fill="FCD5B4"/>
      <w:spacing w:before="100" w:beforeAutospacing="1" w:after="100" w:afterAutospacing="1"/>
      <w:jc w:val="center"/>
    </w:pPr>
    <w:rPr>
      <w:rFonts w:ascii="宋体" w:hAnsi="宋体" w:eastAsia="宋体" w:cs="宋体"/>
      <w:b/>
      <w:bCs/>
      <w:kern w:val="0"/>
      <w:sz w:val="16"/>
      <w:szCs w:val="16"/>
    </w:rPr>
  </w:style>
  <w:style w:type="paragraph" w:customStyle="1" w:styleId="63">
    <w:name w:val="xl139"/>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64">
    <w:name w:val="xl140"/>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65">
    <w:name w:val="xl141"/>
    <w:basedOn w:val="1"/>
    <w:qFormat/>
    <w:uiPriority w:val="0"/>
    <w:pPr>
      <w:widowControl/>
      <w:pBdr>
        <w:top w:val="single" w:color="auto" w:sz="4" w:space="0"/>
        <w:left w:val="single" w:color="auto" w:sz="4" w:space="0"/>
        <w:bottom w:val="single" w:color="auto" w:sz="4" w:space="0"/>
        <w:right w:val="single" w:color="auto" w:sz="4" w:space="0"/>
      </w:pBdr>
      <w:shd w:val="clear" w:color="000000" w:fill="FCD5B4"/>
      <w:spacing w:before="100" w:beforeAutospacing="1" w:after="100" w:afterAutospacing="1"/>
      <w:jc w:val="center"/>
    </w:pPr>
    <w:rPr>
      <w:rFonts w:ascii="宋体" w:hAnsi="宋体" w:eastAsia="宋体" w:cs="宋体"/>
      <w:b/>
      <w:bCs/>
      <w:kern w:val="0"/>
      <w:sz w:val="16"/>
      <w:szCs w:val="16"/>
    </w:rPr>
  </w:style>
  <w:style w:type="paragraph" w:customStyle="1" w:styleId="66">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6"/>
      <w:szCs w:val="16"/>
    </w:rPr>
  </w:style>
  <w:style w:type="paragraph" w:customStyle="1" w:styleId="67">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68">
    <w:name w:val="xl144"/>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69">
    <w:name w:val="xl145"/>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70">
    <w:name w:val="xl146"/>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16"/>
      <w:szCs w:val="16"/>
    </w:rPr>
  </w:style>
  <w:style w:type="paragraph" w:customStyle="1" w:styleId="71">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16"/>
      <w:szCs w:val="16"/>
    </w:rPr>
  </w:style>
  <w:style w:type="paragraph" w:customStyle="1" w:styleId="72">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73">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74">
    <w:name w:val="xl150"/>
    <w:basedOn w:val="1"/>
    <w:qFormat/>
    <w:uiPriority w:val="0"/>
    <w:pPr>
      <w:widowControl/>
      <w:spacing w:before="100" w:beforeAutospacing="1" w:after="100" w:afterAutospacing="1"/>
      <w:jc w:val="center"/>
    </w:pPr>
    <w:rPr>
      <w:rFonts w:ascii="宋体" w:hAnsi="宋体" w:eastAsia="宋体" w:cs="宋体"/>
      <w:color w:val="000000"/>
      <w:kern w:val="0"/>
      <w:sz w:val="16"/>
      <w:szCs w:val="16"/>
    </w:rPr>
  </w:style>
  <w:style w:type="paragraph" w:customStyle="1" w:styleId="75">
    <w:name w:val="xl151"/>
    <w:basedOn w:val="1"/>
    <w:qFormat/>
    <w:uiPriority w:val="0"/>
    <w:pPr>
      <w:widowControl/>
      <w:spacing w:before="100" w:beforeAutospacing="1" w:after="100" w:afterAutospacing="1"/>
      <w:jc w:val="center"/>
    </w:pPr>
    <w:rPr>
      <w:rFonts w:ascii="宋体" w:hAnsi="宋体" w:eastAsia="宋体" w:cs="宋体"/>
      <w:color w:val="000000"/>
      <w:kern w:val="0"/>
      <w:sz w:val="24"/>
      <w:szCs w:val="24"/>
    </w:rPr>
  </w:style>
  <w:style w:type="paragraph" w:customStyle="1" w:styleId="76">
    <w:name w:val="xl15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77">
    <w:name w:val="xl153"/>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rFonts w:ascii="宋体" w:hAnsi="宋体" w:eastAsia="宋体" w:cs="宋体"/>
      <w:color w:val="000000"/>
      <w:kern w:val="0"/>
      <w:sz w:val="16"/>
      <w:szCs w:val="16"/>
    </w:rPr>
  </w:style>
  <w:style w:type="paragraph" w:customStyle="1" w:styleId="78">
    <w:name w:val="xl15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79">
    <w:name w:val="xl15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kern w:val="0"/>
      <w:sz w:val="16"/>
      <w:szCs w:val="16"/>
    </w:rPr>
  </w:style>
  <w:style w:type="paragraph" w:customStyle="1" w:styleId="80">
    <w:name w:val="xl15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kern w:val="0"/>
      <w:sz w:val="16"/>
      <w:szCs w:val="16"/>
    </w:rPr>
  </w:style>
  <w:style w:type="paragraph" w:customStyle="1" w:styleId="81">
    <w:name w:val="xl15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16"/>
      <w:szCs w:val="16"/>
    </w:rPr>
  </w:style>
  <w:style w:type="paragraph" w:customStyle="1" w:styleId="82">
    <w:name w:val="xl158"/>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FF"/>
      <w:spacing w:before="100" w:beforeAutospacing="1" w:after="100" w:afterAutospacing="1"/>
      <w:jc w:val="center"/>
    </w:pPr>
    <w:rPr>
      <w:rFonts w:ascii="宋体" w:hAnsi="宋体" w:eastAsia="宋体" w:cs="宋体"/>
      <w:color w:val="000000"/>
      <w:kern w:val="0"/>
      <w:sz w:val="16"/>
      <w:szCs w:val="16"/>
    </w:rPr>
  </w:style>
  <w:style w:type="paragraph" w:customStyle="1" w:styleId="83">
    <w:name w:val="xl15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color w:val="FF0000"/>
      <w:kern w:val="0"/>
      <w:sz w:val="16"/>
      <w:szCs w:val="16"/>
    </w:rPr>
  </w:style>
  <w:style w:type="paragraph" w:customStyle="1" w:styleId="84">
    <w:name w:val="xl16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b/>
      <w:bCs/>
      <w:color w:val="000000"/>
      <w:kern w:val="0"/>
      <w:sz w:val="16"/>
      <w:szCs w:val="16"/>
    </w:rPr>
  </w:style>
  <w:style w:type="paragraph" w:customStyle="1" w:styleId="85">
    <w:name w:val="xl161"/>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2DCDB"/>
      <w:spacing w:before="100" w:beforeAutospacing="1" w:after="100" w:afterAutospacing="1"/>
      <w:jc w:val="center"/>
    </w:pPr>
    <w:rPr>
      <w:rFonts w:ascii="宋体" w:hAnsi="宋体" w:eastAsia="宋体" w:cs="宋体"/>
      <w:color w:val="000000"/>
      <w:kern w:val="0"/>
      <w:sz w:val="16"/>
      <w:szCs w:val="16"/>
    </w:rPr>
  </w:style>
  <w:style w:type="paragraph" w:customStyle="1" w:styleId="86">
    <w:name w:val="xl16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kern w:val="0"/>
      <w:sz w:val="16"/>
      <w:szCs w:val="16"/>
    </w:rPr>
  </w:style>
  <w:style w:type="paragraph" w:customStyle="1" w:styleId="87">
    <w:name w:val="xl163"/>
    <w:basedOn w:val="1"/>
    <w:qFormat/>
    <w:uiPriority w:val="0"/>
    <w:pPr>
      <w:widowControl/>
      <w:pBdr>
        <w:top w:val="single" w:color="000000" w:sz="4" w:space="0"/>
        <w:left w:val="single" w:color="000000" w:sz="4" w:space="0"/>
        <w:bottom w:val="single" w:color="000000" w:sz="4" w:space="0"/>
        <w:right w:val="single" w:color="000000" w:sz="4" w:space="0"/>
      </w:pBdr>
      <w:shd w:val="clear" w:color="000000" w:fill="FFFF00"/>
      <w:spacing w:before="100" w:beforeAutospacing="1" w:after="100" w:afterAutospacing="1"/>
      <w:jc w:val="center"/>
    </w:pPr>
    <w:rPr>
      <w:rFonts w:ascii="宋体" w:hAnsi="宋体" w:eastAsia="宋体" w:cs="宋体"/>
      <w:kern w:val="0"/>
      <w:sz w:val="16"/>
      <w:szCs w:val="16"/>
    </w:rPr>
  </w:style>
  <w:style w:type="paragraph" w:customStyle="1" w:styleId="88">
    <w:name w:val="xl164"/>
    <w:basedOn w:val="1"/>
    <w:qFormat/>
    <w:uiPriority w:val="0"/>
    <w:pPr>
      <w:widowControl/>
      <w:pBdr>
        <w:top w:val="single" w:color="000000" w:sz="4" w:space="0"/>
        <w:left w:val="single" w:color="000000"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89">
    <w:name w:val="xl165"/>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90">
    <w:name w:val="xl166"/>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91">
    <w:name w:val="xl167"/>
    <w:basedOn w:val="1"/>
    <w:qFormat/>
    <w:uiPriority w:val="0"/>
    <w:pPr>
      <w:widowControl/>
      <w:pBdr>
        <w:top w:val="single" w:color="000000" w:sz="4" w:space="0"/>
        <w:bottom w:val="single" w:color="000000"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92">
    <w:name w:val="xl16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kern w:val="0"/>
      <w:sz w:val="18"/>
      <w:szCs w:val="18"/>
    </w:rPr>
  </w:style>
  <w:style w:type="paragraph" w:customStyle="1" w:styleId="93">
    <w:name w:val="WPSOffice手动目录 1"/>
    <w:qFormat/>
    <w:uiPriority w:val="0"/>
    <w:rPr>
      <w:rFonts w:asciiTheme="minorHAnsi" w:hAnsiTheme="minorHAnsi" w:eastAsiaTheme="minorEastAsia" w:cstheme="minorBidi"/>
      <w:lang w:val="en-US" w:eastAsia="zh-CN" w:bidi="ar-SA"/>
    </w:rPr>
  </w:style>
  <w:style w:type="paragraph" w:customStyle="1" w:styleId="94">
    <w:name w:val="WPSOffice手动目录 2"/>
    <w:qFormat/>
    <w:uiPriority w:val="0"/>
    <w:pPr>
      <w:ind w:left="200" w:leftChars="200"/>
    </w:pPr>
    <w:rPr>
      <w:rFonts w:asciiTheme="minorHAnsi" w:hAnsiTheme="minorHAnsi" w:eastAsiaTheme="minorEastAsia" w:cstheme="minorBidi"/>
      <w:lang w:val="en-US" w:eastAsia="zh-CN" w:bidi="ar-SA"/>
    </w:rPr>
  </w:style>
  <w:style w:type="character" w:customStyle="1" w:styleId="95">
    <w:name w:val="标题 1 字符"/>
    <w:basedOn w:val="17"/>
    <w:link w:val="2"/>
    <w:qFormat/>
    <w:uiPriority w:val="0"/>
    <w:rPr>
      <w:rFonts w:ascii="Times New Roman" w:hAnsi="Times New Roman" w:eastAsia="黑体" w:cs="Times New Roman"/>
      <w:bCs/>
      <w:kern w:val="44"/>
      <w:sz w:val="32"/>
      <w:szCs w:val="44"/>
    </w:rPr>
  </w:style>
  <w:style w:type="paragraph" w:customStyle="1" w:styleId="96">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bCs w:val="0"/>
      <w:color w:val="2E75B6" w:themeColor="accent1" w:themeShade="BF"/>
      <w:kern w:val="0"/>
      <w:szCs w:val="32"/>
    </w:rPr>
  </w:style>
  <w:style w:type="paragraph" w:styleId="9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1F95A0-8FEE-422B-A434-964D8F0C17D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34</Pages>
  <Words>1034</Words>
  <Characters>1145</Characters>
  <Lines>198</Lines>
  <Paragraphs>55</Paragraphs>
  <TotalTime>5</TotalTime>
  <ScaleCrop>false</ScaleCrop>
  <LinksUpToDate>false</LinksUpToDate>
  <CharactersWithSpaces>1195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2023-07-20T12:30:00Z</dcterms:created>
  <dc:creator>◉‿◉</dc:creator>
  <cp:lastModifiedBy>Villa</cp:lastModifiedBy>
  <cp:lastPrinted>2025-06-21T06:18:00Z</cp:lastPrinted>
  <dcterms:modified xsi:type="dcterms:W3CDTF">2026-06-01T00:56:41Z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01F15FEFF2E6487090F73E7F0D939DA0_13</vt:lpwstr>
  </property>
  <property fmtid="{D5CDD505-2E9C-101B-9397-08002B2CF9AE}" pid="4" name="KSOTemplateDocerSaveRecord">
    <vt:lpwstr>eyJoZGlkIjoiZGY1ZWM5M2M1ZDUxYzFiNTQyOGJjM2ZhYjA2MzJhMjAiLCJ1c2VySWQiOiIzMjI3MjY0MjIifQ==</vt:lpwstr>
  </property>
</Properties>
</file>