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2022年度质量工程项目检查情况反馈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共有60个结项项目、75个中检项目参加检查，</w:t>
      </w:r>
      <w:r>
        <w:rPr>
          <w:rFonts w:hint="eastAsia" w:ascii="仿宋_GB2312" w:hAnsi="仿宋_GB2312" w:eastAsia="仿宋_GB2312" w:cs="仿宋_GB2312"/>
          <w:sz w:val="32"/>
          <w:szCs w:val="32"/>
        </w:rPr>
        <w:t>检查共分4组，每组3位校外专家评审。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科研办也对项目材料进行了审核，结合专家意见，发现以下问题：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1.省级项目建设水平高于校级项目，专家总体评价较好。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2.个别项目把立项前的材料也作为建设成果（论文要挂项目编号，个别项目论文未注明编号，专家存疑）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3.仅有论文用稿通知作为项目结项的科研办已经建议老师延期结项，待论文发表再办理结项。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4.教学研究项目里主持人没有1篇自己的论文。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5.申报时预期成果过于“丰富”，结项成果“打折”明显。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ZjQzZDQ0NjAyMzhhZWFkYzRhYTViNGFhYTc0N2UifQ=="/>
  </w:docVars>
  <w:rsids>
    <w:rsidRoot w:val="571F09B4"/>
    <w:rsid w:val="0AC2132E"/>
    <w:rsid w:val="28F66292"/>
    <w:rsid w:val="571F09B4"/>
    <w:rsid w:val="606763F8"/>
    <w:rsid w:val="79852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5"/>
    <w:qFormat/>
    <w:uiPriority w:val="0"/>
    <w:pPr>
      <w:jc w:val="left"/>
    </w:pPr>
    <w:rPr>
      <w:rFonts w:ascii="Calibri" w:hAnsi="Calibri" w:eastAsia="宋体"/>
      <w:sz w:val="32"/>
    </w:rPr>
  </w:style>
  <w:style w:type="character" w:customStyle="1" w:styleId="5">
    <w:name w:val="批注文字 Char"/>
    <w:link w:val="2"/>
    <w:uiPriority w:val="0"/>
    <w:rPr>
      <w:rFonts w:ascii="Calibri" w:hAnsi="Calibri" w:eastAsia="宋体"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251</Characters>
  <Lines>0</Lines>
  <Paragraphs>0</Paragraphs>
  <TotalTime>326</TotalTime>
  <ScaleCrop>false</ScaleCrop>
  <LinksUpToDate>false</LinksUpToDate>
  <CharactersWithSpaces>251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2022-03-30T00:19:00Z</dcterms:created>
  <dc:creator>Administrator</dc:creator>
  <cp:lastModifiedBy>QH</cp:lastModifiedBy>
  <cp:lastPrinted>2022-03-30T00:31:00Z</cp:lastPrinted>
  <dcterms:modified xsi:type="dcterms:W3CDTF">2023-04-14T08:16:12Z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B0594F40205B4FD89DBE3C23C6D2F18D_13</vt:lpwstr>
  </property>
</Properties>
</file>