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44"/>
          <w:szCs w:val="44"/>
        </w:rPr>
      </w:pPr>
    </w:p>
    <w:p>
      <w:pPr>
        <w:jc w:val="center"/>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rPr>
        <w:t>考核表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4"/>
        <w:gridCol w:w="2812"/>
        <w:gridCol w:w="2643"/>
        <w:gridCol w:w="11"/>
        <w:gridCol w:w="2632"/>
        <w:gridCol w:w="2608"/>
        <w:gridCol w:w="35"/>
        <w:gridCol w:w="2644"/>
        <w:gridCol w:w="1181"/>
        <w:gridCol w:w="1463"/>
        <w:gridCol w:w="2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申请人姓名</w:t>
            </w:r>
          </w:p>
        </w:tc>
        <w:tc>
          <w:tcPr>
            <w:tcW w:w="2812" w:type="dxa"/>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rPr>
              <w:t>所在</w:t>
            </w:r>
            <w:r>
              <w:rPr>
                <w:rFonts w:hint="eastAsia" w:ascii="楷体" w:hAnsi="楷体" w:eastAsia="楷体" w:cs="楷体"/>
                <w:sz w:val="36"/>
                <w:szCs w:val="36"/>
                <w:lang w:eastAsia="zh-CN"/>
              </w:rPr>
              <w:t>学院</w:t>
            </w:r>
          </w:p>
        </w:tc>
        <w:tc>
          <w:tcPr>
            <w:tcW w:w="2643" w:type="dxa"/>
            <w:gridSpan w:val="2"/>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申报级别</w:t>
            </w:r>
          </w:p>
        </w:tc>
        <w:tc>
          <w:tcPr>
            <w:tcW w:w="2644" w:type="dxa"/>
            <w:vAlign w:val="center"/>
          </w:tcPr>
          <w:p>
            <w:pPr>
              <w:keepNext w:val="0"/>
              <w:keepLines w:val="0"/>
              <w:suppressLineNumbers w:val="0"/>
              <w:spacing w:before="0" w:beforeAutospacing="0" w:after="0" w:afterAutospacing="0"/>
              <w:ind w:left="0" w:right="0"/>
              <w:jc w:val="center"/>
              <w:rPr>
                <w:rFonts w:hint="eastAsia" w:ascii="楷体" w:hAnsi="楷体" w:eastAsia="楷体" w:cs="楷体"/>
                <w:sz w:val="36"/>
                <w:szCs w:val="36"/>
                <w:lang w:val="en-US" w:eastAsia="zh-CN"/>
              </w:rPr>
            </w:pPr>
            <w:r>
              <w:rPr>
                <w:rFonts w:hint="eastAsia" w:ascii="楷体" w:hAnsi="楷体" w:eastAsia="楷体" w:cs="楷体"/>
                <w:sz w:val="36"/>
                <w:szCs w:val="36"/>
                <w:lang w:val="en-US" w:eastAsia="zh-CN"/>
              </w:rPr>
              <w:t>省级（   ）</w:t>
            </w:r>
          </w:p>
          <w:p>
            <w:pPr>
              <w:keepNext w:val="0"/>
              <w:keepLines w:val="0"/>
              <w:suppressLineNumbers w:val="0"/>
              <w:spacing w:before="0" w:beforeAutospacing="0" w:after="0" w:afterAutospacing="0"/>
              <w:ind w:left="0" w:right="0"/>
              <w:jc w:val="center"/>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校级（   ）</w:t>
            </w:r>
          </w:p>
        </w:tc>
        <w:tc>
          <w:tcPr>
            <w:tcW w:w="2644" w:type="dxa"/>
            <w:gridSpan w:val="2"/>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申报类型</w:t>
            </w:r>
          </w:p>
        </w:tc>
        <w:tc>
          <w:tcPr>
            <w:tcW w:w="2644" w:type="dxa"/>
            <w:vAlign w:val="center"/>
          </w:tcPr>
          <w:p>
            <w:pPr>
              <w:keepNext w:val="0"/>
              <w:keepLines w:val="0"/>
              <w:suppressLineNumbers w:val="0"/>
              <w:spacing w:before="0" w:beforeAutospacing="0" w:after="0" w:afterAutospacing="0"/>
              <w:ind w:left="0" w:right="0"/>
              <w:jc w:val="center"/>
              <w:rPr>
                <w:rFonts w:hint="eastAsia" w:ascii="楷体" w:hAnsi="楷体" w:eastAsia="楷体" w:cs="楷体"/>
                <w:sz w:val="36"/>
                <w:szCs w:val="36"/>
                <w:lang w:val="en-US" w:eastAsia="zh-CN"/>
              </w:rPr>
            </w:pPr>
            <w:r>
              <w:rPr>
                <w:rFonts w:hint="eastAsia" w:ascii="楷体" w:hAnsi="楷体" w:eastAsia="楷体" w:cs="楷体"/>
                <w:sz w:val="36"/>
                <w:szCs w:val="36"/>
                <w:lang w:val="en-US" w:eastAsia="zh-CN"/>
              </w:rPr>
              <w:t>教学名师（  ）</w:t>
            </w:r>
          </w:p>
          <w:p>
            <w:pPr>
              <w:keepNext w:val="0"/>
              <w:keepLines w:val="0"/>
              <w:suppressLineNumbers w:val="0"/>
              <w:spacing w:before="0" w:beforeAutospacing="0" w:after="0" w:afterAutospacing="0"/>
              <w:ind w:left="0" w:right="0"/>
              <w:jc w:val="center"/>
              <w:rPr>
                <w:rFonts w:hint="default" w:ascii="楷体" w:hAnsi="楷体" w:eastAsia="楷体" w:cs="楷体"/>
                <w:sz w:val="36"/>
                <w:szCs w:val="36"/>
                <w:lang w:val="en-US" w:eastAsia="zh-CN"/>
              </w:rPr>
            </w:pPr>
            <w:r>
              <w:rPr>
                <w:rFonts w:hint="eastAsia" w:ascii="楷体" w:hAnsi="楷体" w:eastAsia="楷体" w:cs="楷体"/>
                <w:sz w:val="36"/>
                <w:szCs w:val="36"/>
                <w:lang w:val="en-US" w:eastAsia="zh-CN"/>
              </w:rPr>
              <w:t>教坛新秀（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47" w:type="dxa"/>
            <w:gridSpan w:val="11"/>
            <w:vAlign w:val="center"/>
          </w:tcPr>
          <w:p>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华文中宋" w:hAnsi="华文中宋" w:eastAsia="华文中宋" w:cs="华文中宋"/>
                <w:sz w:val="44"/>
                <w:szCs w:val="44"/>
              </w:rPr>
              <w:t>申请人得分情况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序号</w:t>
            </w:r>
          </w:p>
        </w:tc>
        <w:tc>
          <w:tcPr>
            <w:tcW w:w="5466" w:type="dxa"/>
            <w:gridSpan w:val="3"/>
          </w:tcPr>
          <w:p>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内容</w:t>
            </w:r>
          </w:p>
        </w:tc>
        <w:tc>
          <w:tcPr>
            <w:tcW w:w="5240" w:type="dxa"/>
            <w:gridSpan w:val="2"/>
          </w:tcPr>
          <w:p>
            <w:pPr>
              <w:keepNext w:val="0"/>
              <w:keepLines w:val="0"/>
              <w:suppressLineNumbers w:val="0"/>
              <w:spacing w:before="0" w:beforeAutospacing="0" w:after="0" w:afterAutospacing="0"/>
              <w:ind w:left="0" w:right="0"/>
              <w:jc w:val="center"/>
              <w:rPr>
                <w:rFonts w:hint="eastAsia" w:ascii="黑体" w:hAnsi="黑体" w:eastAsia="黑体" w:cs="黑体"/>
                <w:bCs/>
                <w:sz w:val="36"/>
                <w:szCs w:val="36"/>
                <w:lang w:eastAsia="zh-CN"/>
              </w:rPr>
            </w:pPr>
            <w:r>
              <w:rPr>
                <w:rFonts w:hint="eastAsia" w:ascii="黑体" w:hAnsi="黑体" w:eastAsia="黑体" w:cs="黑体"/>
                <w:bCs/>
                <w:sz w:val="36"/>
                <w:szCs w:val="36"/>
              </w:rPr>
              <w:t>赋分上限</w:t>
            </w:r>
          </w:p>
        </w:tc>
        <w:tc>
          <w:tcPr>
            <w:tcW w:w="3860" w:type="dxa"/>
            <w:gridSpan w:val="3"/>
          </w:tcPr>
          <w:p>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申请人得分</w:t>
            </w:r>
          </w:p>
        </w:tc>
        <w:tc>
          <w:tcPr>
            <w:tcW w:w="4107" w:type="dxa"/>
            <w:gridSpan w:val="2"/>
            <w:vMerge w:val="restart"/>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总分</w:t>
            </w:r>
          </w:p>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1</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师德师风</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lang w:val="en-US" w:eastAsia="zh-CN"/>
              </w:rPr>
            </w:pPr>
            <w:r>
              <w:rPr>
                <w:rFonts w:hint="eastAsia" w:ascii="楷体" w:hAnsi="楷体" w:eastAsia="楷体" w:cs="楷体"/>
                <w:bCs/>
                <w:sz w:val="36"/>
                <w:szCs w:val="36"/>
                <w:lang w:val="en-US" w:eastAsia="zh-CN"/>
              </w:rPr>
              <w:t>上限40分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lang w:val="en-US" w:eastAsia="zh-CN"/>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2</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基本条件</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w:t>
            </w:r>
            <w:r>
              <w:rPr>
                <w:rFonts w:hint="eastAsia" w:ascii="楷体" w:hAnsi="楷体" w:eastAsia="楷体" w:cs="楷体"/>
                <w:bCs/>
                <w:sz w:val="36"/>
                <w:szCs w:val="36"/>
                <w:lang w:val="en-US" w:eastAsia="zh-CN"/>
              </w:rPr>
              <w:t>45</w:t>
            </w:r>
            <w:r>
              <w:rPr>
                <w:rFonts w:hint="eastAsia" w:ascii="楷体" w:hAnsi="楷体" w:eastAsia="楷体" w:cs="楷体"/>
                <w:bCs/>
                <w:sz w:val="36"/>
                <w:szCs w:val="36"/>
              </w:rPr>
              <w:t>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3</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教学质量与教学能力</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80</w:t>
            </w:r>
            <w:r>
              <w:rPr>
                <w:rFonts w:hint="eastAsia" w:ascii="楷体" w:hAnsi="楷体" w:eastAsia="楷体" w:cs="楷体"/>
                <w:bCs/>
                <w:sz w:val="36"/>
                <w:szCs w:val="36"/>
              </w:rPr>
              <w:t>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74" w:type="dxa"/>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4</w:t>
            </w:r>
          </w:p>
        </w:tc>
        <w:tc>
          <w:tcPr>
            <w:tcW w:w="5466"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教科研成果</w:t>
            </w:r>
          </w:p>
        </w:tc>
        <w:tc>
          <w:tcPr>
            <w:tcW w:w="5240" w:type="dxa"/>
            <w:gridSpan w:val="2"/>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5</w:t>
            </w:r>
            <w:r>
              <w:rPr>
                <w:rFonts w:hint="eastAsia" w:ascii="楷体" w:hAnsi="楷体" w:eastAsia="楷体" w:cs="楷体"/>
                <w:bCs/>
                <w:sz w:val="36"/>
                <w:szCs w:val="36"/>
              </w:rPr>
              <w:t>0分</w:t>
            </w:r>
          </w:p>
        </w:tc>
        <w:tc>
          <w:tcPr>
            <w:tcW w:w="3860" w:type="dxa"/>
            <w:gridSpan w:val="3"/>
          </w:tcPr>
          <w:p>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bl>
    <w:p>
      <w:pPr>
        <w:spacing w:line="520" w:lineRule="exact"/>
        <w:ind w:firstLine="640" w:firstLineChars="200"/>
        <w:rPr>
          <w:rFonts w:hint="eastAsia"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Cs/>
          <w:color w:val="000000" w:themeColor="text1"/>
          <w:sz w:val="32"/>
          <w:szCs w:val="32"/>
          <w:lang w:val="en-US" w:eastAsia="zh-CN"/>
          <w14:textFill>
            <w14:solidFill>
              <w14:schemeClr w14:val="tx1"/>
            </w14:solidFill>
          </w14:textFill>
        </w:rPr>
        <w:t>备注：</w:t>
      </w:r>
      <w:r>
        <w:rPr>
          <w:rFonts w:hint="eastAsia" w:ascii="黑体" w:hAnsi="黑体" w:eastAsia="黑体" w:cs="黑体"/>
          <w:b/>
          <w:bCs w:val="0"/>
          <w:color w:val="000000" w:themeColor="text1"/>
          <w:sz w:val="32"/>
          <w:szCs w:val="32"/>
          <w:lang w:val="en-US" w:eastAsia="zh-CN"/>
          <w14:textFill>
            <w14:solidFill>
              <w14:schemeClr w14:val="tx1"/>
            </w14:solidFill>
          </w14:textFill>
        </w:rPr>
        <w:t>1.有小数的保留2位</w:t>
      </w:r>
      <w:r>
        <w:rPr>
          <w:rFonts w:hint="eastAsia" w:ascii="黑体" w:hAnsi="黑体" w:eastAsia="黑体" w:cs="黑体"/>
          <w:b/>
          <w:bCs w:val="0"/>
          <w:color w:val="FF0000"/>
          <w:sz w:val="32"/>
          <w:szCs w:val="32"/>
          <w:lang w:val="en-US" w:eastAsia="zh-CN"/>
        </w:rPr>
        <w:t>小数</w:t>
      </w:r>
      <w:r>
        <w:rPr>
          <w:rFonts w:hint="eastAsia" w:ascii="黑体" w:hAnsi="黑体" w:eastAsia="黑体" w:cs="黑体"/>
          <w:b/>
          <w:bCs w:val="0"/>
          <w:color w:val="000000" w:themeColor="text1"/>
          <w:sz w:val="32"/>
          <w:szCs w:val="32"/>
          <w:lang w:val="en-US" w:eastAsia="zh-CN"/>
          <w14:textFill>
            <w14:solidFill>
              <w14:schemeClr w14:val="tx1"/>
            </w14:solidFill>
          </w14:textFill>
        </w:rPr>
        <w:t>；</w:t>
      </w:r>
    </w:p>
    <w:p>
      <w:pPr>
        <w:numPr>
          <w:ilvl w:val="0"/>
          <w:numId w:val="0"/>
        </w:numPr>
        <w:spacing w:line="520" w:lineRule="exact"/>
        <w:ind w:firstLine="1606" w:firstLineChars="500"/>
        <w:rPr>
          <w:rFonts w:hint="eastAsia"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
          <w:bCs w:val="0"/>
          <w:color w:val="000000" w:themeColor="text1"/>
          <w:sz w:val="32"/>
          <w:szCs w:val="32"/>
          <w:lang w:val="en-US" w:eastAsia="zh-CN"/>
          <w14:textFill>
            <w14:solidFill>
              <w14:schemeClr w14:val="tx1"/>
            </w14:solidFill>
          </w14:textFill>
        </w:rPr>
        <w:t>2.教学名师业绩期限为：2017年10月-2022年10月；教坛新秀业绩期限为：2019年10月-2022年10月</w:t>
      </w:r>
    </w:p>
    <w:p>
      <w:pPr>
        <w:numPr>
          <w:ilvl w:val="0"/>
          <w:numId w:val="0"/>
        </w:numPr>
        <w:spacing w:line="520" w:lineRule="exact"/>
        <w:ind w:firstLine="1606" w:firstLineChars="500"/>
        <w:rPr>
          <w:rFonts w:hint="default"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
          <w:bCs w:val="0"/>
          <w:color w:val="000000" w:themeColor="text1"/>
          <w:sz w:val="32"/>
          <w:szCs w:val="32"/>
          <w:lang w:val="en-US" w:eastAsia="zh-CN"/>
          <w14:textFill>
            <w14:solidFill>
              <w14:schemeClr w14:val="tx1"/>
            </w14:solidFill>
          </w14:textFill>
        </w:rPr>
        <w:t>3.申报省级教坛新秀需满足：高校工作满5年，1982年1月1日以后出生，近5年无教学事故，在教师教学比赛中省赛获奖（或校赛二等奖及以上）。申报校级教坛新秀需满足：高校工作满3年，1982年1月1日以后出生，近3年无教学事故，校级以上教师教学比赛获奖。</w:t>
      </w:r>
    </w:p>
    <w:p>
      <w:pPr>
        <w:numPr>
          <w:ilvl w:val="0"/>
          <w:numId w:val="0"/>
        </w:numPr>
        <w:spacing w:line="520" w:lineRule="exact"/>
        <w:rPr>
          <w:rFonts w:hint="eastAsia" w:ascii="黑体" w:hAnsi="黑体" w:eastAsia="黑体" w:cs="黑体"/>
          <w:b/>
          <w:bCs w:val="0"/>
          <w:color w:val="000000" w:themeColor="text1"/>
          <w:sz w:val="32"/>
          <w:szCs w:val="32"/>
          <w:lang w:val="en-US" w:eastAsia="zh-CN"/>
          <w14:textFill>
            <w14:solidFill>
              <w14:schemeClr w14:val="tx1"/>
            </w14:solidFill>
          </w14:textFill>
        </w:rPr>
      </w:pPr>
    </w:p>
    <w:p>
      <w:pPr>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br w:type="page"/>
      </w:r>
      <w:r>
        <w:rPr>
          <w:rFonts w:hint="eastAsia" w:ascii="黑体" w:hAnsi="黑体" w:eastAsia="黑体" w:cs="黑体"/>
          <w:bCs/>
          <w:color w:val="000000" w:themeColor="text1"/>
          <w:sz w:val="32"/>
          <w:szCs w:val="32"/>
          <w14:textFill>
            <w14:solidFill>
              <w14:schemeClr w14:val="tx1"/>
            </w14:solidFill>
          </w14:textFill>
        </w:rPr>
        <w:t>一、师德师风</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1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652"/>
        <w:gridCol w:w="4500"/>
        <w:gridCol w:w="1524"/>
        <w:gridCol w:w="5076"/>
        <w:gridCol w:w="1452"/>
        <w:gridCol w:w="6305"/>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2" w:hRule="atLeast"/>
          <w:tblHeader/>
          <w:jc w:val="center"/>
        </w:trPr>
        <w:tc>
          <w:tcPr>
            <w:tcW w:w="698"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序号</w:t>
            </w:r>
          </w:p>
        </w:tc>
        <w:tc>
          <w:tcPr>
            <w:tcW w:w="5152"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内        容</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6305"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计分说明</w:t>
            </w:r>
          </w:p>
        </w:tc>
        <w:tc>
          <w:tcPr>
            <w:tcW w:w="806"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6" w:hRule="exact"/>
          <w:jc w:val="center"/>
        </w:trPr>
        <w:tc>
          <w:tcPr>
            <w:tcW w:w="698" w:type="dxa"/>
            <w:vMerge w:val="restart"/>
            <w:vAlign w:val="center"/>
          </w:tcPr>
          <w:p>
            <w:pPr>
              <w:keepNext w:val="0"/>
              <w:keepLines w:val="0"/>
              <w:suppressLineNumbers w:val="0"/>
              <w:spacing w:before="0" w:beforeAutospacing="0" w:after="0" w:afterAutospacing="0"/>
              <w:ind w:left="0" w:right="0"/>
              <w:jc w:val="center"/>
              <w:rPr>
                <w:rFonts w:hint="default" w:ascii="楷体_GB2312" w:eastAsia="楷体_GB2312"/>
                <w:b/>
                <w:color w:val="FF0000"/>
                <w:sz w:val="24"/>
              </w:rPr>
            </w:pPr>
            <w:r>
              <w:rPr>
                <w:rFonts w:hint="eastAsia" w:ascii="楷体_GB2312" w:eastAsia="楷体_GB2312"/>
                <w:b/>
                <w:sz w:val="24"/>
              </w:rPr>
              <w:t>1</w:t>
            </w:r>
          </w:p>
        </w:tc>
        <w:tc>
          <w:tcPr>
            <w:tcW w:w="5152" w:type="dxa"/>
            <w:gridSpan w:val="2"/>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（1）基础得分</w:t>
            </w:r>
          </w:p>
        </w:tc>
        <w:tc>
          <w:tcPr>
            <w:tcW w:w="1524" w:type="dxa"/>
            <w:vMerge w:val="restart"/>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35</w:t>
            </w:r>
          </w:p>
        </w:tc>
        <w:tc>
          <w:tcPr>
            <w:tcW w:w="5076" w:type="dxa"/>
            <w:vMerge w:val="restart"/>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8"/>
                <w:szCs w:val="28"/>
              </w:rPr>
            </w:pPr>
          </w:p>
        </w:tc>
        <w:tc>
          <w:tcPr>
            <w:tcW w:w="1452" w:type="dxa"/>
            <w:vMerge w:val="restart"/>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 w:val="24"/>
                <w:szCs w:val="24"/>
                <w:lang w:val="en-US"/>
              </w:rPr>
            </w:pPr>
            <w:r>
              <w:rPr>
                <w:rFonts w:hint="default" w:ascii="仿宋" w:hAnsi="仿宋" w:eastAsia="仿宋" w:cs="仿宋"/>
                <w:b w:val="0"/>
                <w:bCs w:val="0"/>
                <w:sz w:val="24"/>
                <w:szCs w:val="24"/>
                <w:lang w:val="en-US" w:eastAsia="zh-CN"/>
              </w:rPr>
              <w:t>1.基础得分：基础得分采用扣分制，任期内如出现师德师风负面清单行为的，根据具体行为扣减相应基础得分：</w:t>
            </w:r>
          </w:p>
          <w:p>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 w:val="24"/>
                <w:szCs w:val="24"/>
                <w:lang w:val="en-US"/>
              </w:rPr>
            </w:pPr>
            <w:r>
              <w:rPr>
                <w:rFonts w:hint="default" w:ascii="仿宋" w:hAnsi="仿宋" w:eastAsia="仿宋" w:cs="仿宋"/>
                <w:b w:val="0"/>
                <w:bCs w:val="0"/>
                <w:sz w:val="24"/>
                <w:szCs w:val="24"/>
                <w:lang w:val="en-US" w:eastAsia="zh-CN"/>
              </w:rPr>
              <w:t>（1）发生教师职业行为负面清单中列入的师德失范行为，并造成恶劣影响，经学校认定属实的（已过受到相关处理的执行期），每次扣除12分。（2）发生教师职业行为负面清单中列入的师德失范行为，经学校认定属实的，但情节轻微免予处理，或被处以批评教育、责令检查的，每次扣除6分。（3）发生一般教学事故（已过延迟申报期），每次扣除6分。（4）发生重大教学事故（已过延迟申报期），每次扣除12分。（5）受警告处分者（已过延迟申报期），每次扣除12分。（6）受记过以上处分者（已过延迟申报期），每次扣除18分。（7）年度考核或学年度教学质量考核有1次以上不合格者（已过延迟申报期），每次扣除12分。（8）年度有谎报学历、资历、业绩等弄虚作假行为的（已过延迟申报期），每次扣除12分。</w:t>
            </w:r>
          </w:p>
          <w:p>
            <w:pPr>
              <w:keepNext w:val="0"/>
              <w:keepLines w:val="0"/>
              <w:suppressLineNumbers w:val="0"/>
              <w:spacing w:before="0" w:beforeAutospacing="0" w:after="0" w:afterAutospacing="0" w:line="300" w:lineRule="exact"/>
              <w:ind w:left="0" w:right="0"/>
              <w:jc w:val="left"/>
              <w:rPr>
                <w:rFonts w:hint="default" w:ascii="仿宋" w:hAnsi="仿宋" w:eastAsia="仿宋" w:cs="仿宋"/>
                <w:b/>
                <w:bCs/>
                <w:szCs w:val="21"/>
              </w:rPr>
            </w:pPr>
            <w:r>
              <w:rPr>
                <w:rFonts w:hint="default" w:ascii="仿宋" w:hAnsi="仿宋" w:eastAsia="仿宋" w:cs="仿宋"/>
                <w:b w:val="0"/>
                <w:bCs w:val="0"/>
                <w:sz w:val="24"/>
                <w:szCs w:val="24"/>
                <w:lang w:val="en-US" w:eastAsia="zh-CN"/>
              </w:rPr>
              <w:t>任期内如未出现以上行为的，师德师风基础得分可得36分。</w:t>
            </w:r>
          </w:p>
        </w:tc>
        <w:tc>
          <w:tcPr>
            <w:tcW w:w="806" w:type="dxa"/>
            <w:vMerge w:val="restart"/>
            <w:vAlign w:val="center"/>
          </w:tcPr>
          <w:p>
            <w:pPr>
              <w:keepNext w:val="0"/>
              <w:keepLines w:val="0"/>
              <w:suppressLineNumbers w:val="0"/>
              <w:spacing w:before="0" w:beforeAutospacing="0" w:after="0" w:afterAutospacing="0"/>
              <w:ind w:left="0" w:right="0"/>
              <w:jc w:val="center"/>
              <w:rPr>
                <w:rFonts w:hint="default" w:ascii="楷体_GB2312" w:eastAsia="楷体_GB2312"/>
                <w:color w:val="FF0000"/>
                <w:sz w:val="24"/>
                <w:highlight w:val="yellow"/>
                <w:lang w:val="en-US" w:eastAsia="zh-CN"/>
              </w:rPr>
            </w:pPr>
            <w:r>
              <w:rPr>
                <w:rFonts w:hint="eastAsia" w:ascii="楷体_GB2312" w:eastAsia="楷体_GB2312"/>
                <w:strike w:val="0"/>
                <w:dstrike w:val="0"/>
                <w:color w:val="auto"/>
                <w:sz w:val="32"/>
                <w:szCs w:val="32"/>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5152" w:type="dxa"/>
            <w:gridSpan w:val="2"/>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p>
        </w:tc>
        <w:tc>
          <w:tcPr>
            <w:tcW w:w="152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p>
        </w:tc>
        <w:tc>
          <w:tcPr>
            <w:tcW w:w="507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restart"/>
            <w:vAlign w:val="center"/>
          </w:tcPr>
          <w:p>
            <w:pPr>
              <w:keepNext w:val="0"/>
              <w:keepLines w:val="0"/>
              <w:suppressLineNumbers w:val="0"/>
              <w:spacing w:before="0" w:beforeAutospacing="0" w:after="0" w:afterAutospacing="0" w:line="300" w:lineRule="exact"/>
              <w:ind w:left="0" w:right="0"/>
              <w:rPr>
                <w:rFonts w:hint="default" w:ascii="楷体_GB2312" w:eastAsia="楷体_GB2312"/>
                <w:color w:val="FF0000"/>
                <w:sz w:val="24"/>
                <w:lang w:val="en-US" w:eastAsia="zh-CN"/>
              </w:rPr>
            </w:pPr>
            <w:r>
              <w:rPr>
                <w:rFonts w:hint="eastAsia" w:ascii="楷体_GB2312" w:eastAsia="楷体_GB2312"/>
                <w:color w:val="FF0000"/>
                <w:sz w:val="24"/>
                <w:lang w:val="en-US" w:eastAsia="zh-CN"/>
              </w:rPr>
              <w:t>附加分上限5分</w:t>
            </w:r>
            <w:bookmarkStart w:id="0" w:name="_GoBack"/>
            <w:bookmarkEnd w:id="0"/>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5"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附</w:t>
            </w:r>
          </w:p>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加</w:t>
            </w:r>
          </w:p>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分</w:t>
            </w: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国家级非教学类荣誉称号</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5</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630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省级非教学类荣誉称号：省级优秀共产党员、劳动模范、“五一劳动奖章”“安徽省脱贫攻坚先进个人”获得者等由</w:t>
            </w:r>
            <w:r>
              <w:rPr>
                <w:rFonts w:hint="eastAsia" w:ascii="仿宋" w:hAnsi="仿宋" w:eastAsia="仿宋" w:cs="仿宋"/>
                <w:b/>
                <w:bCs/>
                <w:sz w:val="24"/>
              </w:rPr>
              <w:t>安徽省政府</w:t>
            </w:r>
            <w:r>
              <w:rPr>
                <w:rFonts w:hint="eastAsia" w:ascii="仿宋" w:hAnsi="仿宋" w:eastAsia="仿宋" w:cs="仿宋"/>
                <w:sz w:val="24"/>
              </w:rPr>
              <w:t>颁发的各类奖励</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3</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厅级非教学类荣誉称号：厅级优秀共产党员等由安徽省商务厅等颁发的各类奖励</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2</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4"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校级荣誉称号：校级优秀共产党员、校级优秀教师、校级优秀教育工作者、年度考核优秀个人、优秀辅导员、优秀教育工作者等。</w:t>
            </w:r>
          </w:p>
        </w:tc>
        <w:tc>
          <w:tcPr>
            <w:tcW w:w="1524"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1</w:t>
            </w:r>
          </w:p>
        </w:tc>
        <w:tc>
          <w:tcPr>
            <w:tcW w:w="507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698" w:type="dxa"/>
            <w:vMerge w:val="continue"/>
            <w:vAlign w:val="center"/>
          </w:tcPr>
          <w:p>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Align w:val="center"/>
          </w:tcPr>
          <w:p>
            <w:pPr>
              <w:keepNext w:val="0"/>
              <w:keepLines w:val="0"/>
              <w:suppressLineNumbers w:val="0"/>
              <w:spacing w:before="0" w:beforeAutospacing="0" w:after="0" w:afterAutospacing="0" w:line="300" w:lineRule="exact"/>
              <w:ind w:left="0" w:right="0"/>
              <w:rPr>
                <w:rFonts w:hint="default" w:ascii="楷体_GB2312" w:eastAsia="楷体_GB2312"/>
                <w:sz w:val="24"/>
              </w:rPr>
            </w:pPr>
          </w:p>
        </w:tc>
        <w:tc>
          <w:tcPr>
            <w:tcW w:w="18857" w:type="dxa"/>
            <w:gridSpan w:val="5"/>
            <w:vAlign w:val="center"/>
          </w:tcPr>
          <w:p>
            <w:pPr>
              <w:keepNext w:val="0"/>
              <w:keepLines w:val="0"/>
              <w:suppressLineNumbers w:val="0"/>
              <w:spacing w:before="0" w:beforeAutospacing="0" w:after="0" w:afterAutospacing="0" w:line="300" w:lineRule="exact"/>
              <w:ind w:left="0" w:right="0"/>
              <w:rPr>
                <w:rFonts w:hint="default" w:ascii="楷体_GB2312" w:eastAsia="楷体_GB2312"/>
                <w:sz w:val="28"/>
                <w:szCs w:val="28"/>
              </w:rPr>
            </w:pPr>
            <w:r>
              <w:rPr>
                <w:rFonts w:hint="eastAsia" w:ascii="黑体" w:hAnsi="黑体" w:eastAsia="黑体" w:cs="黑体"/>
                <w:color w:val="FF0000"/>
                <w:sz w:val="28"/>
                <w:szCs w:val="28"/>
              </w:rPr>
              <w:t>申请人师德师风得分：</w:t>
            </w:r>
          </w:p>
        </w:tc>
        <w:tc>
          <w:tcPr>
            <w:tcW w:w="806" w:type="dxa"/>
            <w:vAlign w:val="center"/>
          </w:tcPr>
          <w:p>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bl>
    <w:p>
      <w:pPr>
        <w:spacing w:line="520" w:lineRule="exact"/>
        <w:rPr>
          <w:rFonts w:hint="eastAsia" w:ascii="黑体" w:hAnsi="黑体" w:eastAsia="黑体" w:cs="黑体"/>
          <w:bCs/>
          <w:color w:val="000000" w:themeColor="text1"/>
          <w:sz w:val="32"/>
          <w:szCs w:val="32"/>
          <w14:textFill>
            <w14:solidFill>
              <w14:schemeClr w14:val="tx1"/>
            </w14:solidFill>
          </w14:textFill>
        </w:rPr>
      </w:pPr>
    </w:p>
    <w:p>
      <w:pPr>
        <w:spacing w:line="520" w:lineRule="exact"/>
        <w:rPr>
          <w:rFonts w:hint="eastAsia" w:ascii="黑体" w:hAnsi="黑体" w:eastAsia="黑体" w:cs="黑体"/>
          <w:bCs/>
          <w:color w:val="000000" w:themeColor="text1"/>
          <w:sz w:val="32"/>
          <w:szCs w:val="32"/>
          <w14:textFill>
            <w14:solidFill>
              <w14:schemeClr w14:val="tx1"/>
            </w14:solidFill>
          </w14:textFill>
        </w:rPr>
      </w:pPr>
    </w:p>
    <w:p>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二、基本条件</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700"/>
        <w:gridCol w:w="3357"/>
        <w:gridCol w:w="1414"/>
        <w:gridCol w:w="3157"/>
        <w:gridCol w:w="2229"/>
        <w:gridCol w:w="3025"/>
        <w:gridCol w:w="5118"/>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557"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057"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1414"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157"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2229"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8143"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37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tblHeader/>
          <w:jc w:val="center"/>
        </w:trPr>
        <w:tc>
          <w:tcPr>
            <w:tcW w:w="557"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2</w:t>
            </w:r>
          </w:p>
        </w:tc>
        <w:tc>
          <w:tcPr>
            <w:tcW w:w="700"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基本</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工作量</w:t>
            </w:r>
          </w:p>
        </w:tc>
        <w:tc>
          <w:tcPr>
            <w:tcW w:w="3357"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z w:val="24"/>
              </w:rPr>
              <w:t>1.专任教师任期内每学年平均周课时量达到教学基本工作量</w:t>
            </w:r>
            <w:r>
              <w:rPr>
                <w:rFonts w:hint="eastAsia" w:ascii="仿宋" w:hAnsi="仿宋" w:eastAsia="仿宋" w:cs="仿宋"/>
                <w:bCs/>
                <w:strike w:val="0"/>
                <w:dstrike w:val="0"/>
                <w:color w:val="auto"/>
                <w:sz w:val="24"/>
              </w:rPr>
              <w:t>（16节课/周），计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trike w:val="0"/>
                <w:color w:val="auto"/>
                <w:sz w:val="24"/>
              </w:rPr>
              <w:t>2.兼任教师任期内每学年平均周课时量达到学校规定的课时</w:t>
            </w:r>
            <w:r>
              <w:rPr>
                <w:rFonts w:hint="eastAsia" w:ascii="仿宋" w:hAnsi="仿宋" w:eastAsia="仿宋" w:cs="仿宋"/>
                <w:bCs/>
                <w:strike w:val="0"/>
                <w:dstrike w:val="0"/>
                <w:color w:val="auto"/>
                <w:sz w:val="24"/>
              </w:rPr>
              <w:t>量（正科以上4-6节，正科以下6-8节），计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3.每学期的授课周数为教师所授课程的实际应开课周数。（即不受新生开学迟、综合实训周、劳动周的影响。）</w:t>
            </w:r>
          </w:p>
        </w:tc>
        <w:tc>
          <w:tcPr>
            <w:tcW w:w="1414"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222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3025" w:type="dxa"/>
            <w:vMerge w:val="restart"/>
            <w:vAlign w:val="center"/>
          </w:tcPr>
          <w:p>
            <w:pPr>
              <w:keepNext w:val="0"/>
              <w:keepLines w:val="0"/>
              <w:suppressLineNumbers w:val="0"/>
              <w:spacing w:before="0" w:beforeAutospacing="0" w:after="0" w:afterAutospacing="0" w:line="300" w:lineRule="exact"/>
              <w:ind w:left="0" w:right="0"/>
              <w:rPr>
                <w:rFonts w:hint="eastAsia" w:ascii="楷体" w:hAnsi="楷体" w:eastAsia="楷体" w:cs="楷体"/>
                <w:b/>
                <w:bCs w:val="0"/>
                <w:color w:val="FF0000"/>
                <w:sz w:val="24"/>
              </w:rPr>
            </w:pPr>
            <w:r>
              <w:rPr>
                <w:rFonts w:hint="eastAsia" w:ascii="楷体" w:hAnsi="楷体" w:eastAsia="楷体" w:cs="楷体"/>
                <w:b/>
                <w:bCs w:val="0"/>
                <w:color w:val="FF0000"/>
                <w:sz w:val="24"/>
              </w:rPr>
              <w:t>专任教师</w:t>
            </w:r>
          </w:p>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M≥16,得</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分</w:t>
            </w:r>
          </w:p>
        </w:tc>
        <w:tc>
          <w:tcPr>
            <w:tcW w:w="137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12≤M＜16，得</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8≤M＜12，得</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2≤M＜8，得</w:t>
            </w:r>
            <w:r>
              <w:rPr>
                <w:rFonts w:hint="eastAsia" w:ascii="仿宋" w:hAnsi="仿宋" w:eastAsia="仿宋" w:cs="仿宋"/>
                <w:b/>
                <w:bCs w:val="0"/>
                <w:color w:val="0070C0"/>
                <w:sz w:val="24"/>
                <w:lang w:val="en-US" w:eastAsia="zh-CN"/>
              </w:rPr>
              <w:t>15</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M＜2，得</w:t>
            </w:r>
            <w:r>
              <w:rPr>
                <w:rFonts w:hint="eastAsia" w:ascii="仿宋" w:hAnsi="仿宋" w:eastAsia="仿宋" w:cs="仿宋"/>
                <w:b/>
                <w:bCs w:val="0"/>
                <w:color w:val="0070C0"/>
                <w:sz w:val="24"/>
                <w:lang w:val="en-US" w:eastAsia="zh-CN"/>
              </w:rPr>
              <w:t>7.5</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6"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Align w:val="center"/>
          </w:tcPr>
          <w:p>
            <w:pPr>
              <w:keepNext w:val="0"/>
              <w:keepLines w:val="0"/>
              <w:suppressLineNumbers w:val="0"/>
              <w:spacing w:before="0" w:beforeAutospacing="0" w:after="0" w:afterAutospacing="0" w:line="300" w:lineRule="exact"/>
              <w:ind w:left="0" w:right="0"/>
              <w:rPr>
                <w:rFonts w:hint="default" w:ascii="楷体" w:hAnsi="楷体" w:eastAsia="楷体" w:cs="楷体"/>
                <w:b/>
                <w:bCs w:val="0"/>
                <w:color w:val="FF0000"/>
                <w:sz w:val="24"/>
              </w:rPr>
            </w:pPr>
            <w:r>
              <w:rPr>
                <w:rFonts w:hint="eastAsia" w:ascii="楷体" w:hAnsi="楷体" w:eastAsia="楷体" w:cs="楷体"/>
                <w:b/>
                <w:bCs w:val="0"/>
                <w:color w:val="FF0000"/>
                <w:sz w:val="24"/>
              </w:rPr>
              <w:t>专任教师</w:t>
            </w:r>
          </w:p>
          <w:p>
            <w:pPr>
              <w:keepNext w:val="0"/>
              <w:keepLines w:val="0"/>
              <w:suppressLineNumbers w:val="0"/>
              <w:spacing w:before="0" w:beforeAutospacing="0" w:after="0" w:afterAutospacing="0" w:line="300" w:lineRule="exact"/>
              <w:ind w:left="0" w:right="0"/>
              <w:rPr>
                <w:rFonts w:hint="default" w:ascii="仿宋" w:hAnsi="仿宋" w:eastAsia="仿宋" w:cs="仿宋"/>
                <w:bCs/>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trike w:val="0"/>
                <w:dstrike w:val="0"/>
                <w:color w:val="auto"/>
                <w:sz w:val="24"/>
              </w:rPr>
              <w:t>兼任教师</w:t>
            </w:r>
            <w:r>
              <w:rPr>
                <w:rFonts w:hint="eastAsia" w:ascii="仿宋" w:hAnsi="仿宋" w:eastAsia="仿宋" w:cs="仿宋"/>
                <w:b/>
                <w:bCs w:val="0"/>
                <w:strike w:val="0"/>
                <w:dstrike w:val="0"/>
                <w:color w:val="auto"/>
                <w:sz w:val="24"/>
                <w:lang w:val="en-US" w:eastAsia="zh-CN"/>
              </w:rPr>
              <w:t>一学年内平均周</w:t>
            </w:r>
            <w:r>
              <w:rPr>
                <w:rFonts w:hint="eastAsia" w:ascii="仿宋" w:hAnsi="仿宋" w:eastAsia="仿宋" w:cs="仿宋"/>
                <w:b/>
                <w:bCs w:val="0"/>
                <w:strike w:val="0"/>
                <w:dstrike w:val="0"/>
                <w:color w:val="auto"/>
                <w:sz w:val="24"/>
              </w:rPr>
              <w:t>课时量</w:t>
            </w:r>
            <w:r>
              <w:rPr>
                <w:rFonts w:hint="eastAsia" w:ascii="仿宋" w:hAnsi="仿宋" w:eastAsia="仿宋" w:cs="仿宋"/>
                <w:bCs/>
                <w:strike w:val="0"/>
                <w:dstrike w:val="0"/>
                <w:color w:val="auto"/>
                <w:sz w:val="24"/>
              </w:rPr>
              <w:t>（M）比规定最低课时量每少2节减</w:t>
            </w:r>
            <w:r>
              <w:rPr>
                <w:rFonts w:hint="eastAsia" w:ascii="仿宋" w:hAnsi="仿宋" w:eastAsia="仿宋" w:cs="仿宋"/>
                <w:bCs/>
                <w:strike w:val="0"/>
                <w:dstrike w:val="0"/>
                <w:color w:val="auto"/>
                <w:sz w:val="24"/>
                <w:lang w:val="en-US" w:eastAsia="zh-CN"/>
              </w:rPr>
              <w:t>9</w:t>
            </w:r>
            <w:r>
              <w:rPr>
                <w:rFonts w:hint="eastAsia" w:ascii="仿宋" w:hAnsi="仿宋" w:eastAsia="仿宋" w:cs="仿宋"/>
                <w:bCs/>
                <w:strike w:val="0"/>
                <w:dstrike w:val="0"/>
                <w:color w:val="auto"/>
                <w:sz w:val="24"/>
              </w:rPr>
              <w:t>分；</w:t>
            </w:r>
            <w:r>
              <w:rPr>
                <w:rFonts w:hint="eastAsia" w:ascii="仿宋" w:hAnsi="仿宋" w:eastAsia="仿宋" w:cs="仿宋"/>
                <w:bCs/>
                <w:sz w:val="24"/>
              </w:rPr>
              <w:t>不授课不得分。</w:t>
            </w:r>
          </w:p>
        </w:tc>
        <w:tc>
          <w:tcPr>
            <w:tcW w:w="137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exact"/>
          <w:tblHeader/>
          <w:jc w:val="center"/>
        </w:trPr>
        <w:tc>
          <w:tcPr>
            <w:tcW w:w="5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计分案例：</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张三，专任教师，任期共5个学年，5个学年内的平均周课时量分别为16节、12节、14节、10节、18节，则其</w:t>
            </w:r>
            <w:r>
              <w:rPr>
                <w:rFonts w:hint="eastAsia" w:ascii="楷体" w:hAnsi="楷体" w:eastAsia="楷体" w:cs="楷体"/>
                <w:b/>
                <w:bCs w:val="0"/>
                <w:color w:val="FF0000"/>
                <w:sz w:val="24"/>
                <w:lang w:val="en-US" w:eastAsia="zh-CN"/>
              </w:rPr>
              <w:t>基本工作量获得分数</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）/5=</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;其教学工作量得分为</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分。</w:t>
            </w:r>
          </w:p>
        </w:tc>
        <w:tc>
          <w:tcPr>
            <w:tcW w:w="137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blHeader/>
          <w:jc w:val="center"/>
        </w:trPr>
        <w:tc>
          <w:tcPr>
            <w:tcW w:w="55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300" w:type="dxa"/>
            <w:gridSpan w:val="6"/>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黑体" w:hAnsi="黑体" w:eastAsia="黑体" w:cs="黑体"/>
                <w:color w:val="FF0000"/>
                <w:sz w:val="28"/>
                <w:szCs w:val="28"/>
              </w:rPr>
              <w:t>申请人基本条件得分：</w:t>
            </w:r>
          </w:p>
        </w:tc>
        <w:tc>
          <w:tcPr>
            <w:tcW w:w="1371"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bl>
    <w:p>
      <w:pPr>
        <w:rPr>
          <w:rFonts w:ascii="楷体_GB2312" w:eastAsia="楷体_GB2312"/>
          <w:b/>
          <w:color w:val="000000" w:themeColor="text1"/>
          <w:sz w:val="24"/>
          <w14:textFill>
            <w14:solidFill>
              <w14:schemeClr w14:val="tx1"/>
            </w14:solidFill>
          </w14:textFill>
        </w:rPr>
      </w:pPr>
      <w:r>
        <w:rPr>
          <w:rFonts w:hint="eastAsia" w:ascii="楷体_GB2312" w:eastAsia="楷体_GB2312"/>
          <w:b/>
          <w:color w:val="000000" w:themeColor="text1"/>
          <w:sz w:val="24"/>
          <w14:textFill>
            <w14:solidFill>
              <w14:schemeClr w14:val="tx1"/>
            </w14:solidFill>
          </w14:textFill>
        </w:rPr>
        <w:br w:type="page"/>
      </w:r>
    </w:p>
    <w:p>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三、教学质量与教学能力</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789"/>
        <w:gridCol w:w="900"/>
        <w:gridCol w:w="1880"/>
        <w:gridCol w:w="2240"/>
        <w:gridCol w:w="3740"/>
        <w:gridCol w:w="1880"/>
        <w:gridCol w:w="7842"/>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38"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3569" w:type="dxa"/>
            <w:gridSpan w:val="3"/>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7842"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82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firstLine="117" w:firstLineChars="49"/>
              <w:jc w:val="center"/>
              <w:rPr>
                <w:rFonts w:hint="eastAsia" w:ascii="仿宋" w:hAnsi="仿宋" w:eastAsia="仿宋" w:cs="仿宋"/>
                <w:bCs/>
                <w:sz w:val="24"/>
                <w:lang w:eastAsia="zh-CN"/>
              </w:rPr>
            </w:pPr>
            <w:r>
              <w:rPr>
                <w:rFonts w:hint="eastAsia" w:ascii="仿宋" w:hAnsi="仿宋" w:eastAsia="仿宋" w:cs="仿宋"/>
                <w:bCs/>
                <w:sz w:val="24"/>
                <w:lang w:val="en-US" w:eastAsia="zh-CN"/>
              </w:rPr>
              <w:t>3</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质量</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考核</w:t>
            </w: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教师教学质量考核年度（学年）平均分</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40</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1.教学质量年度（学年）考核：优秀40分/次，良好30分/次，合格24分/次；</w:t>
            </w:r>
          </w:p>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2.计分方式：教学质量考核得分=任期内每年考核得分之和/任期年数</w:t>
            </w:r>
            <w:r>
              <w:rPr>
                <w:rFonts w:hint="eastAsia" w:ascii="仿宋" w:hAnsi="仿宋" w:eastAsia="仿宋" w:cs="仿宋"/>
                <w:bCs/>
                <w:sz w:val="24"/>
                <w:lang w:eastAsia="zh-CN"/>
              </w:rPr>
              <w:t>。</w:t>
            </w:r>
          </w:p>
          <w:p>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计分案例：</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李四，兼任教师，任期共6个学年，6个学年内的教学质量年度（学年）考核分别为：1次优秀、3次良好、2次合格，则其教学质量考核得分=（40+30+30+30+24+24）/6=29.67,其教学质量考核得分为29.67分。</w:t>
            </w:r>
          </w:p>
        </w:tc>
        <w:tc>
          <w:tcPr>
            <w:tcW w:w="821" w:type="dxa"/>
            <w:vMerge w:val="restart"/>
            <w:vAlign w:val="center"/>
          </w:tcPr>
          <w:p>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8</w:t>
            </w:r>
            <w:r>
              <w:rPr>
                <w:rFonts w:hint="eastAsia" w:ascii="仿宋" w:hAnsi="仿宋" w:eastAsia="仿宋" w:cs="仿宋"/>
                <w:bCs/>
                <w:sz w:val="32"/>
                <w:szCs w:val="3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4</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30、22、18</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1.同一年度内，教师个人参加同类项目不同等级竞赛，多次获奖的，按最高奖项计分一次；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2.获奖级别以教育部门规定为准；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3.行业类比赛级别以学校《技能竞赛管理与奖励办法》为认定依据；</w:t>
            </w:r>
          </w:p>
          <w:p>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1"/>
                <w:szCs w:val="21"/>
                <w:lang w:val="en-US" w:eastAsia="zh-CN"/>
              </w:rPr>
            </w:pPr>
            <w:r>
              <w:rPr>
                <w:rFonts w:hint="eastAsia" w:ascii="仿宋" w:hAnsi="仿宋" w:eastAsia="仿宋" w:cs="仿宋"/>
                <w:bCs/>
                <w:sz w:val="24"/>
              </w:rPr>
              <w:t>4.教师竞赛项目参与人不分排序</w:t>
            </w:r>
            <w:r>
              <w:rPr>
                <w:rFonts w:hint="eastAsia" w:ascii="仿宋" w:hAnsi="仿宋" w:eastAsia="仿宋" w:cs="仿宋"/>
                <w:bCs/>
                <w:sz w:val="24"/>
                <w:lang w:eastAsia="zh-CN"/>
              </w:rPr>
              <w:t>。</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计分案例：</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张三，2021年获得春季校级青年教师授课大赛暨教学能力大赛一等奖，并以同一项目获得省级教学能力大赛一等奖，获得国家教学能力大赛一等奖。另外获秋季课程思政大赛二等奖。则其这一年的得分为：国家级教学能力大赛一等奖的分30分+校级课程思政二等奖4分=34分。</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16、13、10</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G33联盟、商科联盟等(一、二、三等奖)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8、6、5</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校级(一、二、三等奖)</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5、4、3</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5</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指导</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学生</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2780" w:type="dxa"/>
            <w:gridSpan w:val="2"/>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全国职业院校技能大赛：30、22、18</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784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1.2021年9月前，</w:t>
            </w:r>
            <w:r>
              <w:rPr>
                <w:rFonts w:hint="eastAsia" w:ascii="黑体" w:hAnsi="黑体" w:eastAsia="黑体" w:cs="黑体"/>
                <w:bCs/>
                <w:color w:val="FF0000"/>
                <w:sz w:val="21"/>
                <w:szCs w:val="21"/>
              </w:rPr>
              <w:t>同一年度内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黑体" w:hAnsi="黑体" w:eastAsia="黑体" w:cs="黑体"/>
                <w:b/>
                <w:color w:val="FF0000"/>
                <w:sz w:val="21"/>
                <w:szCs w:val="21"/>
              </w:rPr>
            </w:pPr>
            <w:r>
              <w:rPr>
                <w:rFonts w:hint="eastAsia" w:ascii="仿宋" w:hAnsi="仿宋" w:eastAsia="仿宋" w:cs="仿宋"/>
                <w:bCs/>
                <w:sz w:val="21"/>
                <w:szCs w:val="21"/>
              </w:rPr>
              <w:t>2.2021年9月后，</w:t>
            </w:r>
            <w:r>
              <w:rPr>
                <w:rFonts w:hint="eastAsia" w:ascii="黑体" w:hAnsi="黑体" w:eastAsia="黑体" w:cs="黑体"/>
                <w:bCs/>
                <w:color w:val="FF0000"/>
                <w:sz w:val="21"/>
                <w:szCs w:val="21"/>
              </w:rPr>
              <w:t>同一学年度内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r>
              <w:rPr>
                <w:rFonts w:hint="eastAsia" w:ascii="黑体" w:hAnsi="黑体" w:eastAsia="黑体" w:cs="黑体"/>
                <w:b/>
                <w:color w:val="FF0000"/>
                <w:sz w:val="21"/>
                <w:szCs w:val="21"/>
              </w:rPr>
              <w:t>（因自2021年9月以后，国赛省赛比赛时间发展变化，同一赛项的省赛与国赛比赛时间，跨年度进行。）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3.</w:t>
            </w:r>
            <w:r>
              <w:rPr>
                <w:rFonts w:hint="eastAsia" w:ascii="黑体" w:hAnsi="黑体" w:eastAsia="黑体" w:cs="黑体"/>
                <w:b/>
                <w:bCs w:val="0"/>
                <w:color w:val="FF0000"/>
                <w:sz w:val="21"/>
                <w:szCs w:val="21"/>
                <w:lang w:val="en-US" w:eastAsia="zh-CN"/>
              </w:rPr>
              <w:t>同一年度内</w:t>
            </w:r>
            <w:r>
              <w:rPr>
                <w:rFonts w:hint="eastAsia" w:ascii="仿宋" w:hAnsi="仿宋" w:eastAsia="仿宋" w:cs="仿宋"/>
                <w:bCs/>
                <w:sz w:val="21"/>
                <w:szCs w:val="21"/>
                <w:lang w:val="en-US" w:eastAsia="zh-CN"/>
              </w:rPr>
              <w:t>，教师指导学生参加安徽省职业院校技能大赛同一赛项获得多个奖项的，取2个最好成绩，第1个成绩计满分，第2个成绩折半计分。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4</w:t>
            </w:r>
            <w:r>
              <w:rPr>
                <w:rFonts w:hint="eastAsia" w:ascii="仿宋" w:hAnsi="仿宋" w:eastAsia="仿宋" w:cs="仿宋"/>
                <w:bCs/>
                <w:sz w:val="21"/>
                <w:szCs w:val="21"/>
              </w:rPr>
              <w:t>.以获奖证书为准，教师指导排名前3位计算积分</w:t>
            </w:r>
            <w:r>
              <w:rPr>
                <w:rFonts w:hint="eastAsia" w:ascii="仿宋" w:hAnsi="仿宋" w:eastAsia="仿宋" w:cs="仿宋"/>
                <w:bCs/>
                <w:sz w:val="21"/>
                <w:szCs w:val="21"/>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5</w:t>
            </w:r>
            <w:r>
              <w:rPr>
                <w:rFonts w:hint="eastAsia" w:ascii="仿宋" w:hAnsi="仿宋" w:eastAsia="仿宋" w:cs="仿宋"/>
                <w:bCs/>
                <w:sz w:val="21"/>
                <w:szCs w:val="21"/>
              </w:rPr>
              <w:t>.未进入B类目录的行业赛事按照C类（市厅级）计算</w:t>
            </w:r>
            <w:r>
              <w:rPr>
                <w:rFonts w:hint="eastAsia" w:ascii="仿宋" w:hAnsi="仿宋" w:eastAsia="仿宋" w:cs="仿宋"/>
                <w:bCs/>
                <w:sz w:val="21"/>
                <w:szCs w:val="21"/>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黑体" w:hAnsi="黑体" w:eastAsia="黑体" w:cs="黑体"/>
                <w:b/>
                <w:bCs w:val="0"/>
                <w:color w:val="FF0000"/>
                <w:sz w:val="21"/>
                <w:szCs w:val="21"/>
              </w:rPr>
            </w:pPr>
            <w:r>
              <w:rPr>
                <w:rFonts w:hint="eastAsia" w:ascii="黑体" w:hAnsi="黑体" w:eastAsia="黑体" w:cs="黑体"/>
                <w:b/>
                <w:bCs w:val="0"/>
                <w:color w:val="FF0000"/>
                <w:sz w:val="21"/>
                <w:szCs w:val="21"/>
                <w:lang w:val="en-US" w:eastAsia="zh-CN"/>
              </w:rPr>
              <w:t>6</w:t>
            </w:r>
            <w:r>
              <w:rPr>
                <w:rFonts w:hint="eastAsia" w:ascii="黑体" w:hAnsi="黑体" w:eastAsia="黑体" w:cs="黑体"/>
                <w:b/>
                <w:bCs w:val="0"/>
                <w:color w:val="FF0000"/>
                <w:sz w:val="21"/>
                <w:szCs w:val="21"/>
              </w:rPr>
              <w:t>.教师指导非全省职业院校技能大赛B类</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C类赛事的积分</w:t>
            </w:r>
            <w:r>
              <w:rPr>
                <w:rFonts w:hint="eastAsia" w:ascii="黑体" w:hAnsi="黑体" w:eastAsia="黑体" w:cs="黑体"/>
                <w:b/>
                <w:bCs w:val="0"/>
                <w:color w:val="FF0000"/>
                <w:sz w:val="21"/>
                <w:szCs w:val="21"/>
                <w:lang w:eastAsia="zh-CN"/>
              </w:rPr>
              <w:t>累计不超过</w:t>
            </w:r>
            <w:r>
              <w:rPr>
                <w:rFonts w:hint="eastAsia" w:ascii="黑体" w:hAnsi="黑体" w:eastAsia="黑体" w:cs="黑体"/>
                <w:b/>
                <w:bCs w:val="0"/>
                <w:color w:val="FF0000"/>
                <w:sz w:val="21"/>
                <w:szCs w:val="21"/>
              </w:rPr>
              <w:t>20分；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
                <w:bCs w:val="0"/>
                <w:color w:val="FF0000"/>
                <w:sz w:val="21"/>
                <w:szCs w:val="21"/>
                <w:lang w:val="en-US" w:eastAsia="zh-CN"/>
              </w:rPr>
              <w:t>7</w:t>
            </w:r>
            <w:r>
              <w:rPr>
                <w:rFonts w:hint="eastAsia" w:ascii="仿宋" w:hAnsi="仿宋" w:eastAsia="仿宋" w:cs="仿宋"/>
                <w:b/>
                <w:bCs w:val="0"/>
                <w:color w:val="FF0000"/>
                <w:sz w:val="21"/>
                <w:szCs w:val="21"/>
              </w:rPr>
              <w:t>.</w:t>
            </w:r>
            <w:r>
              <w:rPr>
                <w:rFonts w:hint="eastAsia" w:ascii="黑体" w:hAnsi="黑体" w:eastAsia="黑体" w:cs="黑体"/>
                <w:b/>
                <w:bCs w:val="0"/>
                <w:color w:val="FF0000"/>
                <w:sz w:val="21"/>
                <w:szCs w:val="21"/>
              </w:rPr>
              <w:t>教师</w:t>
            </w:r>
            <w:r>
              <w:rPr>
                <w:rFonts w:hint="eastAsia" w:ascii="黑体" w:hAnsi="黑体" w:eastAsia="黑体" w:cs="黑体"/>
                <w:b/>
                <w:bCs w:val="0"/>
                <w:color w:val="FF0000"/>
                <w:sz w:val="21"/>
                <w:szCs w:val="21"/>
                <w:lang w:eastAsia="zh-CN"/>
              </w:rPr>
              <w:t>在</w:t>
            </w:r>
            <w:r>
              <w:rPr>
                <w:rFonts w:hint="eastAsia" w:ascii="黑体" w:hAnsi="黑体" w:eastAsia="黑体" w:cs="黑体"/>
                <w:b/>
                <w:bCs w:val="0"/>
                <w:color w:val="FF0000"/>
                <w:sz w:val="21"/>
                <w:szCs w:val="21"/>
              </w:rPr>
              <w:t>同一年度指导</w:t>
            </w:r>
            <w:r>
              <w:rPr>
                <w:rFonts w:hint="eastAsia" w:ascii="黑体" w:hAnsi="黑体" w:eastAsia="黑体" w:cs="黑体"/>
                <w:b/>
                <w:bCs w:val="0"/>
                <w:color w:val="FF0000"/>
                <w:sz w:val="21"/>
                <w:szCs w:val="21"/>
                <w:lang w:eastAsia="zh-CN"/>
              </w:rPr>
              <w:t>了</w:t>
            </w:r>
            <w:r>
              <w:rPr>
                <w:rFonts w:hint="eastAsia" w:ascii="黑体" w:hAnsi="黑体" w:eastAsia="黑体" w:cs="黑体"/>
                <w:b/>
                <w:bCs w:val="0"/>
                <w:color w:val="FF0000"/>
                <w:sz w:val="21"/>
                <w:szCs w:val="21"/>
              </w:rPr>
              <w:t>非全省职业院校技能大赛的B类赛事</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C类赛项，以所获得奖励的最高等级中的1个成果计分。</w:t>
            </w:r>
            <w:r>
              <w:rPr>
                <w:rFonts w:hint="eastAsia" w:ascii="仿宋" w:hAnsi="仿宋" w:eastAsia="仿宋" w:cs="仿宋"/>
                <w:bCs/>
                <w:sz w:val="21"/>
                <w:szCs w:val="21"/>
              </w:rPr>
              <w:t>（计分案例：张三老师，2021年单独指导或与他人共同指导学生参加某B类赛事，学生共获2个一等奖、3个二等奖、4个三等奖，</w:t>
            </w:r>
            <w:r>
              <w:rPr>
                <w:rFonts w:hint="eastAsia" w:ascii="仿宋" w:hAnsi="仿宋" w:eastAsia="仿宋" w:cs="仿宋"/>
                <w:bCs/>
                <w:sz w:val="21"/>
                <w:szCs w:val="21"/>
                <w:lang w:eastAsia="zh-CN"/>
              </w:rPr>
              <w:t>其指导了</w:t>
            </w:r>
            <w:r>
              <w:rPr>
                <w:rFonts w:hint="eastAsia" w:ascii="仿宋" w:hAnsi="仿宋" w:eastAsia="仿宋" w:cs="仿宋"/>
                <w:bCs/>
                <w:sz w:val="21"/>
                <w:szCs w:val="21"/>
                <w:lang w:val="en-US" w:eastAsia="zh-CN"/>
              </w:rPr>
              <w:t>C类赛事获1个一等奖，</w:t>
            </w:r>
            <w:r>
              <w:rPr>
                <w:rFonts w:hint="eastAsia" w:ascii="仿宋" w:hAnsi="仿宋" w:eastAsia="仿宋" w:cs="仿宋"/>
                <w:bCs/>
                <w:sz w:val="21"/>
                <w:szCs w:val="21"/>
              </w:rPr>
              <w:t>则其计分仅取</w:t>
            </w:r>
            <w:r>
              <w:rPr>
                <w:rFonts w:hint="eastAsia" w:ascii="仿宋" w:hAnsi="仿宋" w:eastAsia="仿宋" w:cs="仿宋"/>
                <w:bCs/>
                <w:sz w:val="21"/>
                <w:szCs w:val="21"/>
                <w:lang w:val="en-US" w:eastAsia="zh-CN"/>
              </w:rPr>
              <w:t>B类</w:t>
            </w:r>
            <w:r>
              <w:rPr>
                <w:rFonts w:hint="eastAsia" w:ascii="仿宋" w:hAnsi="仿宋" w:eastAsia="仿宋" w:cs="仿宋"/>
                <w:bCs/>
                <w:sz w:val="21"/>
                <w:szCs w:val="21"/>
              </w:rPr>
              <w:t>1个一等奖进行计分，其得分为</w:t>
            </w:r>
            <w:r>
              <w:rPr>
                <w:rFonts w:hint="eastAsia" w:ascii="仿宋" w:hAnsi="仿宋" w:eastAsia="仿宋" w:cs="仿宋"/>
                <w:bCs/>
                <w:sz w:val="21"/>
                <w:szCs w:val="21"/>
                <w:lang w:val="en-US" w:eastAsia="zh-CN"/>
              </w:rPr>
              <w:t>9</w:t>
            </w:r>
            <w:r>
              <w:rPr>
                <w:rFonts w:hint="eastAsia" w:ascii="仿宋" w:hAnsi="仿宋" w:eastAsia="仿宋" w:cs="仿宋"/>
                <w:bCs/>
                <w:sz w:val="21"/>
                <w:szCs w:val="21"/>
              </w:rPr>
              <w:t>分</w:t>
            </w:r>
            <w:r>
              <w:rPr>
                <w:rFonts w:hint="eastAsia" w:ascii="仿宋" w:hAnsi="仿宋" w:eastAsia="仿宋" w:cs="仿宋"/>
                <w:bCs/>
                <w:sz w:val="21"/>
                <w:szCs w:val="21"/>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8.中国国际“互联网+”大学生创新创业比赛、全国“挑战杯”比赛、全国职业生涯规划暨创业大赛</w:t>
            </w:r>
            <w:r>
              <w:rPr>
                <w:rFonts w:hint="eastAsia" w:ascii="仿宋" w:hAnsi="仿宋" w:eastAsia="仿宋" w:cs="仿宋"/>
                <w:b/>
                <w:bCs w:val="0"/>
                <w:color w:val="7030A0"/>
                <w:sz w:val="21"/>
                <w:szCs w:val="21"/>
                <w:lang w:val="en-US" w:eastAsia="zh-CN"/>
              </w:rPr>
              <w:t>的国家级赛事</w:t>
            </w:r>
            <w:r>
              <w:rPr>
                <w:rFonts w:hint="eastAsia" w:ascii="仿宋" w:hAnsi="仿宋" w:eastAsia="仿宋" w:cs="仿宋"/>
                <w:bCs/>
                <w:sz w:val="21"/>
                <w:szCs w:val="21"/>
                <w:lang w:val="en-US" w:eastAsia="zh-CN"/>
              </w:rPr>
              <w:t>获奖分值与全国职业院校技能大赛一致；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9.省级的“互联网+”大赛、大学生创新创业比赛、“挑战杯”比赛获奖分值与非全省职业院校技能大赛的B类赛事一致。</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非全国职业院校技能大赛的A类赛事：18、14、12</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24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全省职业院校技能大赛：1</w:t>
            </w:r>
            <w:r>
              <w:rPr>
                <w:rFonts w:hint="eastAsia" w:ascii="仿宋" w:hAnsi="仿宋" w:eastAsia="仿宋" w:cs="仿宋"/>
                <w:bCs/>
                <w:sz w:val="24"/>
                <w:lang w:val="en-US" w:eastAsia="zh-CN"/>
              </w:rPr>
              <w:t>4</w:t>
            </w:r>
            <w:r>
              <w:rPr>
                <w:rFonts w:hint="eastAsia" w:ascii="仿宋" w:hAnsi="仿宋" w:eastAsia="仿宋" w:cs="仿宋"/>
                <w:bCs/>
                <w:sz w:val="24"/>
              </w:rPr>
              <w:t>、1</w:t>
            </w:r>
            <w:r>
              <w:rPr>
                <w:rFonts w:hint="eastAsia" w:ascii="仿宋" w:hAnsi="仿宋" w:eastAsia="仿宋" w:cs="仿宋"/>
                <w:bCs/>
                <w:sz w:val="24"/>
                <w:lang w:val="en-US" w:eastAsia="zh-CN"/>
              </w:rPr>
              <w:t>1</w:t>
            </w:r>
            <w:r>
              <w:rPr>
                <w:rFonts w:hint="eastAsia" w:ascii="仿宋" w:hAnsi="仿宋" w:eastAsia="仿宋" w:cs="仿宋"/>
                <w:bCs/>
                <w:sz w:val="24"/>
              </w:rPr>
              <w:t>、</w:t>
            </w:r>
            <w:r>
              <w:rPr>
                <w:rFonts w:hint="eastAsia" w:ascii="仿宋" w:hAnsi="仿宋" w:eastAsia="仿宋" w:cs="仿宋"/>
                <w:bCs/>
                <w:sz w:val="24"/>
                <w:lang w:val="en-US" w:eastAsia="zh-CN"/>
              </w:rPr>
              <w:t>8</w:t>
            </w:r>
          </w:p>
        </w:tc>
        <w:tc>
          <w:tcPr>
            <w:tcW w:w="3740" w:type="dxa"/>
            <w:shd w:val="clear" w:color="auto" w:fill="FFFFFF" w:themeFill="background1"/>
            <w:vAlign w:val="top"/>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24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非全省职业院校技能大赛的B类赛事：</w:t>
            </w:r>
            <w:r>
              <w:rPr>
                <w:rFonts w:hint="eastAsia" w:ascii="仿宋" w:hAnsi="仿宋" w:eastAsia="仿宋" w:cs="仿宋"/>
                <w:bCs/>
                <w:sz w:val="24"/>
                <w:lang w:val="en-US" w:eastAsia="zh-CN"/>
              </w:rPr>
              <w:t>9</w:t>
            </w:r>
            <w:r>
              <w:rPr>
                <w:rFonts w:hint="eastAsia" w:ascii="仿宋" w:hAnsi="仿宋" w:eastAsia="仿宋" w:cs="仿宋"/>
                <w:bCs/>
                <w:sz w:val="24"/>
              </w:rPr>
              <w:t>、</w:t>
            </w:r>
            <w:r>
              <w:rPr>
                <w:rFonts w:hint="eastAsia" w:ascii="仿宋" w:hAnsi="仿宋" w:eastAsia="仿宋" w:cs="仿宋"/>
                <w:bCs/>
                <w:sz w:val="24"/>
                <w:lang w:val="en-US" w:eastAsia="zh-CN"/>
              </w:rPr>
              <w:t>7</w:t>
            </w:r>
            <w:r>
              <w:rPr>
                <w:rFonts w:hint="eastAsia" w:ascii="仿宋" w:hAnsi="仿宋" w:eastAsia="仿宋" w:cs="仿宋"/>
                <w:bCs/>
                <w:sz w:val="24"/>
              </w:rPr>
              <w:t>、</w:t>
            </w:r>
            <w:r>
              <w:rPr>
                <w:rFonts w:hint="eastAsia" w:ascii="仿宋" w:hAnsi="仿宋" w:eastAsia="仿宋" w:cs="仿宋"/>
                <w:bCs/>
                <w:sz w:val="24"/>
                <w:lang w:val="en-US" w:eastAsia="zh-CN"/>
              </w:rPr>
              <w:t>5</w:t>
            </w:r>
          </w:p>
        </w:tc>
        <w:tc>
          <w:tcPr>
            <w:tcW w:w="3740" w:type="dxa"/>
            <w:shd w:val="clear" w:color="auto" w:fill="FFFFFF" w:themeFill="background1"/>
            <w:vAlign w:val="top"/>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vMerge w:val="restart"/>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市厅级(一、二、三等奖)</w:t>
            </w:r>
          </w:p>
        </w:tc>
        <w:tc>
          <w:tcPr>
            <w:tcW w:w="224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lang w:val="en-US" w:eastAsia="zh-CN"/>
              </w:rPr>
              <w:t>市厅级为C类赛事5</w:t>
            </w:r>
            <w:r>
              <w:rPr>
                <w:rFonts w:hint="eastAsia" w:ascii="仿宋" w:hAnsi="仿宋" w:eastAsia="仿宋" w:cs="仿宋"/>
                <w:bCs/>
                <w:sz w:val="24"/>
              </w:rPr>
              <w:t>、</w:t>
            </w: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3</w:t>
            </w:r>
          </w:p>
        </w:tc>
        <w:tc>
          <w:tcPr>
            <w:tcW w:w="3740" w:type="dxa"/>
            <w:shd w:val="clear" w:color="auto" w:fill="FFFFFF" w:themeFill="background1"/>
            <w:vAlign w:val="top"/>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vMerge w:val="continue"/>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6</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教学成果奖</w:t>
            </w:r>
          </w:p>
        </w:tc>
        <w:tc>
          <w:tcPr>
            <w:tcW w:w="90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教学成果奖一类（国家级教学成果奖）</w:t>
            </w: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240"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30、25、20、15、12、11、10、9、8、7，第十名之后均为5分。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1.排名顺序以成果获奖证书为准；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2.同一成果获不同等级奖励的，按最高奖励计分一次；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3.教学成果按个数累计计分。</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25、20、15、10、8、6、5、4，第八名之后均为3分。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20、15、10、8、6、4、3，第7名之后均为2分。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教学成果奖二类（省级教学成果奖）</w:t>
            </w: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18、13、11、9、7、5、3，第7名之后均为2分。</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12、8、6、5、4、3、2，第7名之后均为1分。</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8、6、4、3、2，第5名之后均为1分。</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highlight w:val="yellow"/>
                <w:lang w:eastAsia="zh-CN"/>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6、4、2、1，第4名之后均为1分。</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教学成果奖三类（校级教学成果奖）</w:t>
            </w: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一等奖，主持</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3（仅限主持人）</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2（仅限主持人）</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240"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1（仅限主持人）</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7</w:t>
            </w:r>
          </w:p>
        </w:tc>
        <w:tc>
          <w:tcPr>
            <w:tcW w:w="789"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教学荣誉</w:t>
            </w: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国家级教学名师、国家级优秀教学团队负责人、国家级优秀教师等</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restart"/>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1.</w:t>
            </w:r>
            <w:r>
              <w:rPr>
                <w:rFonts w:hint="eastAsia" w:ascii="仿宋" w:hAnsi="仿宋" w:eastAsia="仿宋" w:cs="仿宋"/>
                <w:bCs/>
                <w:color w:val="000000" w:themeColor="text1"/>
                <w:sz w:val="24"/>
                <w14:textFill>
                  <w14:solidFill>
                    <w14:schemeClr w14:val="tx1"/>
                  </w14:solidFill>
                </w14:textFill>
              </w:rPr>
              <w:t>国家级优秀教学团队指国家级荣誉类教学团队（如黄大年式教学团队，非建设项目类教学团队</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14:textFill>
                  <w14:solidFill>
                    <w14:schemeClr w14:val="tx1"/>
                  </w14:solidFill>
                </w14:textFill>
              </w:rPr>
              <w:t>建设项目类按教研项目计分）</w:t>
            </w:r>
            <w:r>
              <w:rPr>
                <w:rFonts w:hint="eastAsia" w:ascii="仿宋" w:hAnsi="仿宋" w:eastAsia="仿宋" w:cs="仿宋"/>
                <w:bCs/>
                <w:color w:val="000000" w:themeColor="text1"/>
                <w:sz w:val="24"/>
                <w:lang w:eastAsia="zh-CN"/>
                <w14:textFill>
                  <w14:solidFill>
                    <w14:schemeClr w14:val="tx1"/>
                  </w14:solidFill>
                </w14:textFill>
              </w:rPr>
              <w:t>；</w:t>
            </w:r>
          </w:p>
          <w:p>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2.（线上）教学名师、（线上）教坛新秀在</w:t>
            </w:r>
            <w:r>
              <w:rPr>
                <w:rFonts w:hint="eastAsia" w:ascii="仿宋" w:hAnsi="仿宋" w:eastAsia="仿宋" w:cs="仿宋"/>
                <w:b w:val="0"/>
                <w:bCs/>
                <w:color w:val="000000" w:themeColor="text1"/>
                <w:sz w:val="24"/>
                <w:lang w:val="en-US" w:eastAsia="zh-CN"/>
                <w14:textFill>
                  <w14:solidFill>
                    <w14:schemeClr w14:val="tx1"/>
                  </w14:solidFill>
                </w14:textFill>
              </w:rPr>
              <w:t>任期内每一类别</w:t>
            </w:r>
            <w:r>
              <w:rPr>
                <w:rFonts w:hint="eastAsia" w:ascii="仿宋" w:hAnsi="仿宋" w:eastAsia="仿宋" w:cs="仿宋"/>
                <w:bCs/>
                <w:color w:val="000000" w:themeColor="text1"/>
                <w:sz w:val="24"/>
                <w:lang w:val="en-US" w:eastAsia="zh-CN"/>
                <w14:textFill>
                  <w14:solidFill>
                    <w14:schemeClr w14:val="tx1"/>
                  </w14:solidFill>
                </w14:textFill>
              </w:rPr>
              <w:t>只按最高级别加分，同一类别荣誉不同等级的不累计；</w:t>
            </w:r>
          </w:p>
          <w:p>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3.校级荣誉计分上限10分。</w:t>
            </w: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省级教学名师、省级教坛新秀等</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10</w:t>
            </w:r>
          </w:p>
        </w:tc>
        <w:tc>
          <w:tcPr>
            <w:tcW w:w="374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8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校级教学名师、校级教坛新秀等</w:t>
            </w:r>
          </w:p>
        </w:tc>
        <w:tc>
          <w:tcPr>
            <w:tcW w:w="22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w:t>
            </w:r>
          </w:p>
        </w:tc>
        <w:tc>
          <w:tcPr>
            <w:tcW w:w="374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8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42"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Align w:val="center"/>
          </w:tcPr>
          <w:p>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p>
        </w:tc>
        <w:tc>
          <w:tcPr>
            <w:tcW w:w="19271" w:type="dxa"/>
            <w:gridSpan w:val="7"/>
            <w:vAlign w:val="center"/>
          </w:tcPr>
          <w:p>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r>
              <w:rPr>
                <w:rFonts w:hint="eastAsia" w:ascii="黑体" w:hAnsi="黑体" w:eastAsia="黑体" w:cs="黑体"/>
                <w:color w:val="FF0000"/>
                <w:sz w:val="28"/>
                <w:szCs w:val="28"/>
              </w:rPr>
              <w:t>申请人教学质量与教学能力得分：</w:t>
            </w:r>
          </w:p>
        </w:tc>
        <w:tc>
          <w:tcPr>
            <w:tcW w:w="82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r>
    </w:tbl>
    <w:p>
      <w:pPr>
        <w:rPr>
          <w:rFonts w:ascii="楷体" w:hAnsi="楷体" w:eastAsia="楷体" w:cs="楷体"/>
          <w:b/>
          <w:color w:val="FF0000"/>
          <w:sz w:val="36"/>
          <w:szCs w:val="36"/>
        </w:rPr>
      </w:pPr>
      <w:r>
        <w:rPr>
          <w:rFonts w:hint="eastAsia" w:ascii="楷体" w:hAnsi="楷体" w:eastAsia="楷体" w:cs="楷体"/>
          <w:b/>
          <w:color w:val="FF0000"/>
          <w:sz w:val="36"/>
          <w:szCs w:val="36"/>
        </w:rPr>
        <w:br w:type="page"/>
      </w:r>
    </w:p>
    <w:p>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四、教学科研成果</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5"/>
        <w:tblW w:w="20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865"/>
        <w:gridCol w:w="3861"/>
        <w:gridCol w:w="858"/>
        <w:gridCol w:w="2313"/>
        <w:gridCol w:w="3427"/>
        <w:gridCol w:w="1820"/>
        <w:gridCol w:w="5050"/>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blHeader/>
          <w:jc w:val="center"/>
        </w:trPr>
        <w:tc>
          <w:tcPr>
            <w:tcW w:w="105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726"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5050"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221" w:type="dxa"/>
            <w:vAlign w:val="center"/>
          </w:tcPr>
          <w:p>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8</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发表论文及重要教学材料</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一类期刊（非EI会议论文）</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restart"/>
            <w:vAlign w:val="center"/>
          </w:tcPr>
          <w:p>
            <w:pPr>
              <w:keepNext w:val="0"/>
              <w:keepLines w:val="0"/>
              <w:suppressLineNumbers w:val="0"/>
              <w:spacing w:before="0" w:beforeAutospacing="0" w:after="0" w:afterAutospacing="0" w:line="300" w:lineRule="exact"/>
              <w:ind w:left="0" w:right="0"/>
              <w:jc w:val="left"/>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sz w:val="24"/>
                <w:lang w:val="en-US" w:eastAsia="zh-CN"/>
              </w:rPr>
              <w:t>1.</w:t>
            </w:r>
            <w:r>
              <w:rPr>
                <w:rFonts w:hint="eastAsia" w:ascii="仿宋" w:hAnsi="仿宋" w:eastAsia="仿宋" w:cs="仿宋"/>
                <w:bCs/>
                <w:color w:val="000000" w:themeColor="text1"/>
                <w:sz w:val="24"/>
                <w14:textFill>
                  <w14:solidFill>
                    <w14:schemeClr w14:val="tx1"/>
                  </w14:solidFill>
                </w14:textFill>
              </w:rPr>
              <w:t>EI会议论文</w:t>
            </w:r>
            <w:r>
              <w:rPr>
                <w:rFonts w:hint="eastAsia" w:ascii="仿宋" w:hAnsi="仿宋" w:eastAsia="仿宋" w:cs="仿宋"/>
                <w:bCs/>
                <w:color w:val="000000" w:themeColor="text1"/>
                <w:sz w:val="24"/>
                <w:lang w:eastAsia="zh-CN"/>
                <w14:textFill>
                  <w14:solidFill>
                    <w14:schemeClr w14:val="tx1"/>
                  </w14:solidFill>
                </w14:textFill>
              </w:rPr>
              <w:t>需通过学校组织的鉴定后才能计分；</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lang w:val="en-US" w:eastAsia="zh-CN"/>
              </w:rPr>
              <w:t>2</w:t>
            </w:r>
            <w:r>
              <w:rPr>
                <w:rFonts w:hint="eastAsia" w:ascii="仿宋" w:hAnsi="仿宋" w:eastAsia="仿宋" w:cs="仿宋"/>
                <w:bCs/>
                <w:sz w:val="24"/>
              </w:rPr>
              <w:t>.论文必须是独立或第一作者或外文期刊通讯作者完成的学术论文，并公开发表在具有“CN”或“ISSN”刊号的学术刊物上。</w:t>
            </w:r>
            <w:r>
              <w:rPr>
                <w:rFonts w:hint="eastAsia" w:ascii="黑体" w:hAnsi="黑体" w:eastAsia="黑体" w:cs="黑体"/>
                <w:bCs/>
                <w:color w:val="FF0000"/>
                <w:sz w:val="24"/>
              </w:rPr>
              <w:t>在刊物的“增刊、特刊、集刊、专刊、专辑”上发表的论文以及论文集上收录的论文均不计入规定的数量。</w:t>
            </w:r>
            <w:r>
              <w:rPr>
                <w:rFonts w:hint="eastAsia" w:ascii="仿宋" w:hAnsi="仿宋" w:eastAsia="仿宋" w:cs="仿宋"/>
                <w:bCs/>
                <w:sz w:val="24"/>
              </w:rPr>
              <w:t>同篇文章按最高项计分一次；</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trike w:val="0"/>
                <w:dstrike w:val="0"/>
                <w:color w:val="auto"/>
                <w:sz w:val="24"/>
                <w:lang w:val="en-US" w:eastAsia="zh-CN"/>
              </w:rPr>
              <w:t>3</w:t>
            </w:r>
            <w:r>
              <w:rPr>
                <w:rFonts w:hint="eastAsia" w:ascii="仿宋" w:hAnsi="仿宋" w:eastAsia="仿宋" w:cs="仿宋"/>
                <w:bCs/>
                <w:strike w:val="0"/>
                <w:dstrike w:val="0"/>
                <w:color w:val="auto"/>
                <w:sz w:val="24"/>
              </w:rPr>
              <w:t>.各类参评人员四类及以下论文计分不超过</w:t>
            </w:r>
            <w:r>
              <w:rPr>
                <w:rFonts w:hint="eastAsia" w:ascii="仿宋" w:hAnsi="仿宋" w:eastAsia="仿宋" w:cs="仿宋"/>
                <w:bCs/>
                <w:strike w:val="0"/>
                <w:dstrike w:val="0"/>
                <w:color w:val="auto"/>
                <w:sz w:val="24"/>
                <w:lang w:val="en-US" w:eastAsia="zh-CN"/>
              </w:rPr>
              <w:t>16</w:t>
            </w:r>
            <w:r>
              <w:rPr>
                <w:rFonts w:hint="eastAsia" w:ascii="仿宋" w:hAnsi="仿宋" w:eastAsia="仿宋" w:cs="仿宋"/>
                <w:bCs/>
                <w:strike w:val="0"/>
                <w:dstrike w:val="0"/>
                <w:color w:val="auto"/>
                <w:sz w:val="24"/>
              </w:rPr>
              <w:t>分。</w:t>
            </w:r>
          </w:p>
        </w:tc>
        <w:tc>
          <w:tcPr>
            <w:tcW w:w="1221" w:type="dxa"/>
            <w:vMerge w:val="restart"/>
            <w:vAlign w:val="center"/>
          </w:tcPr>
          <w:p>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5</w:t>
            </w:r>
            <w:r>
              <w:rPr>
                <w:rFonts w:hint="eastAsia" w:ascii="仿宋" w:hAnsi="仿宋" w:eastAsia="仿宋" w:cs="仿宋"/>
                <w:bCs/>
                <w:sz w:val="32"/>
                <w:szCs w:val="3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一类期刊（EI会议论文）</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18/篇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二类期刊</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25/篇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三类期刊：《中文核心期刊要目总览》、（CSCD扩展版）、（CSSCI扩展版）</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14/篇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三类期刊：国内其他普通本科高校学报</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三类期刊：安徽行政学院学报、省内国家示范（骨干）高职院校学报</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6/篇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四类期刊</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五类期刊（校刊）</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1/篇</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9</w:t>
            </w:r>
          </w:p>
        </w:tc>
        <w:tc>
          <w:tcPr>
            <w:tcW w:w="865"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专著</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专著（20万字以上），须校外专家对专著的学术水平进行鉴定。</w:t>
            </w:r>
          </w:p>
        </w:tc>
        <w:tc>
          <w:tcPr>
            <w:tcW w:w="3171" w:type="dxa"/>
            <w:gridSpan w:val="2"/>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15/本</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lang w:val="en-US" w:eastAsia="zh-CN"/>
              </w:rPr>
            </w:pPr>
            <w:r>
              <w:rPr>
                <w:rFonts w:hint="eastAsia" w:ascii="仿宋" w:hAnsi="仿宋" w:eastAsia="仿宋" w:cs="仿宋"/>
                <w:bCs/>
                <w:sz w:val="24"/>
              </w:rPr>
              <w:t>1.</w:t>
            </w:r>
            <w:r>
              <w:rPr>
                <w:rFonts w:hint="eastAsia" w:ascii="仿宋" w:hAnsi="仿宋" w:eastAsia="仿宋" w:cs="仿宋"/>
                <w:bCs/>
                <w:sz w:val="24"/>
                <w:lang w:eastAsia="zh-CN"/>
              </w:rPr>
              <w:t>专著的</w:t>
            </w:r>
            <w:r>
              <w:rPr>
                <w:rFonts w:hint="eastAsia" w:ascii="仿宋" w:hAnsi="仿宋" w:eastAsia="仿宋" w:cs="仿宋"/>
                <w:bCs/>
                <w:sz w:val="24"/>
                <w:lang w:val="en-US" w:eastAsia="zh-CN"/>
              </w:rPr>
              <w:t>作者信息需在新闻出版总署相关网站中查询到CIP信息；</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2.</w:t>
            </w:r>
            <w:r>
              <w:rPr>
                <w:rFonts w:hint="eastAsia" w:ascii="仿宋" w:hAnsi="仿宋" w:eastAsia="仿宋" w:cs="仿宋"/>
                <w:bCs/>
                <w:sz w:val="24"/>
              </w:rPr>
              <w:t>学校组织校外专家对专著的学术水平进行鉴定，鉴定通过者方可计分；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3</w:t>
            </w:r>
            <w:r>
              <w:rPr>
                <w:rFonts w:hint="eastAsia" w:ascii="仿宋" w:hAnsi="仿宋" w:eastAsia="仿宋" w:cs="仿宋"/>
                <w:bCs/>
                <w:sz w:val="24"/>
              </w:rPr>
              <w:t>.专著须20万字以上；</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专著独撰的计15分；有2个作者以上的第一作者计12分，第二作者计3分，其他不计分5</w:t>
            </w:r>
            <w:r>
              <w:rPr>
                <w:rFonts w:hint="eastAsia" w:ascii="仿宋" w:hAnsi="仿宋" w:eastAsia="仿宋" w:cs="仿宋"/>
                <w:bCs/>
                <w:sz w:val="24"/>
              </w:rPr>
              <w:t>.专著须在任职期内公开出版。</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10</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教材</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国家级高职高专规划教材（与专业相关，参编或著述达2万字及以上</w:t>
            </w:r>
            <w:r>
              <w:rPr>
                <w:rFonts w:hint="eastAsia" w:ascii="仿宋" w:hAnsi="仿宋" w:eastAsia="仿宋" w:cs="仿宋"/>
                <w:bCs/>
                <w:sz w:val="24"/>
                <w:lang w:eastAsia="zh-CN"/>
              </w:rPr>
              <w:t>且与申报学科有关</w:t>
            </w:r>
            <w:r>
              <w:rPr>
                <w:rFonts w:hint="eastAsia" w:ascii="仿宋" w:hAnsi="仿宋" w:eastAsia="仿宋" w:cs="仿宋"/>
                <w:bCs/>
                <w:sz w:val="24"/>
              </w:rPr>
              <w:t>）。</w:t>
            </w:r>
          </w:p>
        </w:tc>
        <w:tc>
          <w:tcPr>
            <w:tcW w:w="3171" w:type="dxa"/>
            <w:gridSpan w:val="2"/>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参编：10/本。</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1.根据国家对教材“凡编必审”的原则，2022年9月1日之后出版的教材（含修订）未经学校审批的不予计分；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lang w:val="en-US" w:eastAsia="zh-CN"/>
              </w:rPr>
              <w:t>2</w:t>
            </w:r>
            <w:r>
              <w:rPr>
                <w:rFonts w:hint="eastAsia" w:ascii="仿宋" w:hAnsi="仿宋" w:eastAsia="仿宋" w:cs="仿宋"/>
                <w:bCs/>
                <w:sz w:val="21"/>
                <w:szCs w:val="21"/>
              </w:rPr>
              <w:t>.参编达到2万字即可获得相应分值。</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lang w:val="en-US" w:eastAsia="zh-CN"/>
              </w:rPr>
              <w:t>3</w:t>
            </w:r>
            <w:r>
              <w:rPr>
                <w:rFonts w:hint="eastAsia" w:ascii="仿宋" w:hAnsi="仿宋" w:eastAsia="仿宋" w:cs="仿宋"/>
                <w:bCs/>
                <w:sz w:val="21"/>
                <w:szCs w:val="21"/>
              </w:rPr>
              <w:t>.主编或副主编另加分：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（1）国家级规划教材主编（第一主编）另加20分；非第一主编另加10分；副主编写另加8分；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（2）省级规划教材主编（第一主编）另加10分；非第一主编另加5分；副主编另加4分；</w:t>
            </w:r>
          </w:p>
          <w:p>
            <w:pPr>
              <w:keepNext w:val="0"/>
              <w:keepLines w:val="0"/>
              <w:suppressLineNumbers w:val="0"/>
              <w:spacing w:before="0" w:beforeAutospacing="0" w:after="0" w:afterAutospacing="0" w:line="300" w:lineRule="exact"/>
              <w:ind w:left="0" w:right="0"/>
              <w:rPr>
                <w:rFonts w:hint="eastAsia" w:ascii="仿宋" w:hAnsi="仿宋" w:eastAsia="仿宋" w:cs="仿宋"/>
                <w:bCs/>
                <w:color w:val="auto"/>
                <w:sz w:val="21"/>
                <w:szCs w:val="21"/>
              </w:rPr>
            </w:pPr>
            <w:r>
              <w:rPr>
                <w:rFonts w:hint="eastAsia" w:ascii="仿宋" w:hAnsi="仿宋" w:eastAsia="仿宋" w:cs="仿宋"/>
                <w:bCs/>
                <w:color w:val="auto"/>
                <w:sz w:val="21"/>
                <w:szCs w:val="21"/>
              </w:rPr>
              <w:t>（3）普通教材（第一主编）另加6分，非第一主编另加4分，副主编另加3分。</w:t>
            </w:r>
          </w:p>
          <w:p>
            <w:pPr>
              <w:keepNext w:val="0"/>
              <w:keepLines w:val="0"/>
              <w:suppressLineNumbers w:val="0"/>
              <w:spacing w:before="0" w:beforeAutospacing="0" w:after="0" w:afterAutospacing="0" w:line="300" w:lineRule="exact"/>
              <w:ind w:left="0" w:right="0"/>
              <w:rPr>
                <w:rFonts w:hint="default" w:ascii="仿宋" w:hAnsi="仿宋" w:eastAsia="仿宋" w:cs="仿宋"/>
                <w:bCs/>
                <w:color w:val="FF0000"/>
                <w:sz w:val="21"/>
                <w:szCs w:val="21"/>
                <w:lang w:val="en-US" w:eastAsia="zh-CN"/>
              </w:rPr>
            </w:pPr>
            <w:r>
              <w:rPr>
                <w:rFonts w:hint="eastAsia" w:ascii="仿宋" w:hAnsi="仿宋" w:eastAsia="仿宋" w:cs="仿宋"/>
                <w:bCs/>
                <w:strike w:val="0"/>
                <w:dstrike w:val="0"/>
                <w:color w:val="auto"/>
                <w:sz w:val="21"/>
                <w:szCs w:val="21"/>
                <w:lang w:val="en-US" w:eastAsia="zh-CN"/>
              </w:rPr>
              <w:t>4.副主编计分的教材取得分最高的4本计分。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省部级高职高专规划教材、省级高水平高职教材（与专业相关，</w:t>
            </w:r>
            <w:r>
              <w:rPr>
                <w:rFonts w:hint="eastAsia" w:ascii="黑体" w:hAnsi="黑体" w:eastAsia="黑体" w:cs="黑体"/>
                <w:bCs/>
                <w:color w:val="FF0000"/>
                <w:sz w:val="24"/>
              </w:rPr>
              <w:t>参编达2万字及以上</w:t>
            </w:r>
            <w:r>
              <w:rPr>
                <w:rFonts w:hint="eastAsia" w:ascii="仿宋" w:hAnsi="仿宋" w:eastAsia="仿宋" w:cs="仿宋"/>
                <w:bCs/>
                <w:sz w:val="24"/>
              </w:rPr>
              <w:t>）</w:t>
            </w:r>
          </w:p>
        </w:tc>
        <w:tc>
          <w:tcPr>
            <w:tcW w:w="3171" w:type="dxa"/>
            <w:gridSpan w:val="2"/>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参编：5/本。</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主编、副主编另外加分。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普通教材（与专业相关，参编达2万字及以上）</w:t>
            </w:r>
          </w:p>
        </w:tc>
        <w:tc>
          <w:tcPr>
            <w:tcW w:w="3171" w:type="dxa"/>
            <w:gridSpan w:val="2"/>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参编：2/本。</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11</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教育</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研究</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【提示：一类教研项目主要是国家级教研项目】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rPr>
            </w:pPr>
            <w:r>
              <w:rPr>
                <w:rFonts w:hint="eastAsia" w:ascii="仿宋" w:hAnsi="仿宋" w:eastAsia="仿宋" w:cs="仿宋"/>
                <w:bCs/>
                <w:sz w:val="21"/>
                <w:szCs w:val="21"/>
              </w:rPr>
              <w:t>1.</w:t>
            </w:r>
            <w:r>
              <w:rPr>
                <w:rFonts w:hint="eastAsia" w:ascii="黑体" w:hAnsi="黑体" w:eastAsia="黑体" w:cs="黑体"/>
                <w:bCs/>
                <w:color w:val="FF0000"/>
                <w:sz w:val="21"/>
                <w:szCs w:val="21"/>
              </w:rPr>
              <w:t>项目主持人为第一顺序人，项目参与人接续依次排序；双主持人排名都为第一,参与人从第三排序；</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2.排名顺序：未结项项目以申报书或任务书为准，已结项项目以结项书为准；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3.同一项目获不同等级立项的，按最高等级计分一次；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4.项目已结题或取得阶段性成果;</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5.“校企合作、产教融合生产实践专项课题”指学校专设的产教融合课题。</w:t>
            </w:r>
          </w:p>
          <w:p>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6.项目参与人需要真正参与项目研究与建设工作，对仅挂名、未参与项目研究与建设的，一经查实将取消赋分资格。</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黑体" w:hAnsi="黑体" w:eastAsia="黑体" w:cs="黑体"/>
                <w:bCs/>
                <w:color w:val="FF0000"/>
                <w:sz w:val="21"/>
                <w:szCs w:val="21"/>
              </w:rPr>
              <w:t>7.参与项目积分上限为20分。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【提示：二类教研项目主要是省级较大教研项目】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10、5、4、3、2，自第六名始均为1分。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lang w:val="en-US" w:eastAsia="zh-CN"/>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【提示：三类教研项目主要是教育厅一般项目及校级项目】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lang w:val="en-US" w:eastAsia="zh-CN"/>
              </w:rPr>
            </w:pPr>
            <w:r>
              <w:rPr>
                <w:rFonts w:hint="eastAsia" w:ascii="仿宋" w:hAnsi="仿宋" w:eastAsia="仿宋" w:cs="仿宋"/>
                <w:bCs/>
                <w:sz w:val="24"/>
                <w:lang w:val="en-US" w:eastAsia="zh-CN"/>
              </w:rPr>
              <w:t>校级一般教研项目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lang w:val="en-US" w:eastAsia="zh-CN"/>
              </w:rPr>
            </w:pPr>
            <w:r>
              <w:rPr>
                <w:rFonts w:hint="eastAsia" w:ascii="仿宋" w:hAnsi="仿宋" w:eastAsia="仿宋" w:cs="仿宋"/>
                <w:bCs/>
                <w:sz w:val="24"/>
                <w:lang w:val="en-US" w:eastAsia="zh-CN"/>
              </w:rPr>
              <w:t>主持加2分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校企合作、产教融合生产实践专项课题(按照排名计分)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5、3、2，第四名始均为1分。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12</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【提示：一类项目主要指国家级重点重大项目】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4"/>
              </w:rPr>
            </w:pPr>
            <w:r>
              <w:rPr>
                <w:rFonts w:hint="eastAsia" w:ascii="黑体" w:hAnsi="黑体" w:eastAsia="黑体" w:cs="黑体"/>
                <w:bCs/>
                <w:color w:val="FF0000"/>
                <w:sz w:val="24"/>
              </w:rPr>
              <w:t>1.项目主持人为第一顺序人，项目参与人接续依次排序；双主持人排名都为第一,参与人从第三排序；</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2.排名顺序：未结项项目以申报书或任务书为准，已结项项目以结项书为准；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3.同一项目获不同等级立项的，按最高等级计分一次；</w:t>
            </w:r>
          </w:p>
          <w:p>
            <w:pPr>
              <w:keepNext w:val="0"/>
              <w:keepLines w:val="0"/>
              <w:suppressLineNumbers w:val="0"/>
              <w:spacing w:before="0" w:beforeAutospacing="0" w:after="0" w:afterAutospacing="0" w:line="300" w:lineRule="exact"/>
              <w:ind w:left="0" w:right="0"/>
              <w:rPr>
                <w:rFonts w:hint="default" w:ascii="仿宋" w:hAnsi="仿宋" w:eastAsia="仿宋" w:cs="仿宋"/>
                <w:bCs/>
                <w:strike w:val="0"/>
                <w:dstrike w:val="0"/>
                <w:sz w:val="24"/>
              </w:rPr>
            </w:pPr>
            <w:r>
              <w:rPr>
                <w:rFonts w:hint="eastAsia" w:ascii="仿宋" w:hAnsi="仿宋" w:eastAsia="仿宋" w:cs="仿宋"/>
                <w:bCs/>
                <w:strike w:val="0"/>
                <w:dstrike w:val="0"/>
                <w:sz w:val="24"/>
              </w:rPr>
              <w:t>4.</w:t>
            </w:r>
            <w:r>
              <w:rPr>
                <w:rFonts w:hint="eastAsia" w:ascii="黑体" w:hAnsi="黑体" w:eastAsia="黑体" w:cs="黑体"/>
                <w:bCs/>
                <w:strike w:val="0"/>
                <w:dstrike w:val="0"/>
                <w:color w:val="FF0000"/>
                <w:sz w:val="24"/>
              </w:rPr>
              <w:t>横向科研项目按到学院账户金额计分，多人合作完成的，按排名的1/n积分；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5.项目已结题或取得阶段性成果；</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6.参与项目积分上限为20分。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【提示：二类项目主要指国家级项目、省部级委托项目，企业咨询课题40万以上】</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20、12、10、8、6、4、3，第八名始均为2分。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10、6、5、4、3、2、1，自第八名始均为1分。</w:t>
            </w:r>
          </w:p>
        </w:tc>
        <w:tc>
          <w:tcPr>
            <w:tcW w:w="3427" w:type="dxa"/>
            <w:shd w:val="clear" w:color="auto" w:fill="FFFFFF" w:themeFill="background1"/>
            <w:vAlign w:val="center"/>
          </w:tcPr>
          <w:p>
            <w:pPr>
              <w:keepNext w:val="0"/>
              <w:keepLines w:val="0"/>
              <w:suppressLineNumbers w:val="0"/>
              <w:spacing w:before="0" w:beforeAutospacing="0" w:after="0" w:afterAutospacing="0"/>
              <w:ind w:left="0" w:right="0"/>
              <w:rPr>
                <w:rFonts w:hint="default" w:ascii="仿宋" w:hAnsi="仿宋" w:eastAsia="仿宋" w:cs="仿宋"/>
                <w:b/>
                <w:bCs w:val="0"/>
                <w:color w:val="0000FF"/>
                <w:sz w:val="24"/>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四类项目(按照排名计分)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五类项目(主持)</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3（仅主持人）</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横向科研项目</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0.3分/千元</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13</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专利及软件</w:t>
            </w:r>
          </w:p>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著作权</w:t>
            </w: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发明专利（按排名计分）</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15、10、8，自第四名始均为3分。</w:t>
            </w:r>
          </w:p>
        </w:tc>
        <w:tc>
          <w:tcPr>
            <w:tcW w:w="3427"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820" w:type="dxa"/>
            <w:shd w:val="clear" w:color="auto" w:fill="FFFFFF" w:themeFill="background1"/>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1.专利已转化，发明专利加5分，实用新型专利、软件著作权、外观设计专利加2分；</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2.专利、软著权等均与申报专业相符。</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3.专利、软著权参与项目计分上限10分。</w:t>
            </w: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实用新型专利（主持）、软件著作权（主持）</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外观设计专利（主持）</w:t>
            </w:r>
          </w:p>
        </w:tc>
        <w:tc>
          <w:tcPr>
            <w:tcW w:w="3171" w:type="dxa"/>
            <w:gridSpan w:val="2"/>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14</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科研奖励</w:t>
            </w:r>
          </w:p>
        </w:tc>
        <w:tc>
          <w:tcPr>
            <w:tcW w:w="386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一类（分自然科学类、人文社会类）【提示：一类科研奖主要指国家级，无三等奖】</w:t>
            </w: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3"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w:t>
            </w:r>
            <w:r>
              <w:rPr>
                <w:rFonts w:hint="eastAsia" w:ascii="仿宋" w:hAnsi="仿宋" w:eastAsia="仿宋" w:cs="仿宋"/>
                <w:bCs/>
                <w:sz w:val="24"/>
              </w:rPr>
              <w:t>自第十一名始均计</w:t>
            </w:r>
            <w:r>
              <w:rPr>
                <w:rFonts w:hint="eastAsia" w:ascii="仿宋" w:hAnsi="仿宋" w:eastAsia="仿宋" w:cs="仿宋"/>
                <w:bCs/>
                <w:szCs w:val="21"/>
              </w:rPr>
              <w:t>5分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1.排名顺序以获奖证书或成果推荐书为准；</w:t>
            </w:r>
          </w:p>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2.同一成果获不同等级奖励的，按最高奖励计分一次；</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3.科研奖励仅限于皖教人〔2016〕2号附表3与教育厅后续补充文件规定范围。</w:t>
            </w:r>
          </w:p>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p>
        </w:tc>
        <w:tc>
          <w:tcPr>
            <w:tcW w:w="122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25、20、15、10、8、6、4，第八名始均计3分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二类（分自然科学类、人文社会类）【提示：二类科研奖励主要指省部级】</w:t>
            </w: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18、12、10、8、6、4、2，</w:t>
            </w:r>
            <w:r>
              <w:rPr>
                <w:rFonts w:hint="eastAsia" w:ascii="仿宋" w:hAnsi="仿宋" w:eastAsia="仿宋" w:cs="仿宋"/>
                <w:bCs/>
                <w:sz w:val="24"/>
              </w:rPr>
              <w:t>自第八名始均计</w:t>
            </w:r>
            <w:r>
              <w:rPr>
                <w:rFonts w:hint="eastAsia" w:ascii="仿宋" w:hAnsi="仿宋" w:eastAsia="仿宋" w:cs="仿宋"/>
                <w:bCs/>
                <w:szCs w:val="21"/>
              </w:rPr>
              <w:t>均计1分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12、8、6、5、4、3、2，</w:t>
            </w:r>
            <w:r>
              <w:rPr>
                <w:rFonts w:hint="eastAsia" w:ascii="仿宋" w:hAnsi="仿宋" w:eastAsia="仿宋" w:cs="仿宋"/>
                <w:bCs/>
                <w:sz w:val="24"/>
              </w:rPr>
              <w:t>自第八名始均计</w:t>
            </w:r>
            <w:r>
              <w:rPr>
                <w:rFonts w:hint="eastAsia" w:ascii="仿宋" w:hAnsi="仿宋" w:eastAsia="仿宋" w:cs="仿宋"/>
                <w:bCs/>
                <w:szCs w:val="21"/>
              </w:rPr>
              <w:t>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8、6、5、4、3、2、1，</w:t>
            </w:r>
            <w:r>
              <w:rPr>
                <w:rFonts w:hint="eastAsia" w:ascii="仿宋" w:hAnsi="仿宋" w:eastAsia="仿宋" w:cs="仿宋"/>
                <w:bCs/>
                <w:sz w:val="24"/>
              </w:rPr>
              <w:t>自第八名始</w:t>
            </w:r>
            <w:r>
              <w:rPr>
                <w:rFonts w:hint="eastAsia" w:ascii="仿宋" w:hAnsi="仿宋" w:eastAsia="仿宋" w:cs="仿宋"/>
                <w:bCs/>
                <w:szCs w:val="21"/>
              </w:rPr>
              <w:t>均计1分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restart"/>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三类（分自然科学类、人文社会类）【提示：三类科研奖励，主要指市厅级】</w:t>
            </w: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6、3、2，</w:t>
            </w:r>
            <w:r>
              <w:rPr>
                <w:rFonts w:hint="eastAsia" w:ascii="仿宋" w:hAnsi="仿宋" w:eastAsia="仿宋" w:cs="仿宋"/>
                <w:bCs/>
                <w:sz w:val="24"/>
              </w:rPr>
              <w:t>自第四名始均计</w:t>
            </w:r>
            <w:r>
              <w:rPr>
                <w:rFonts w:hint="eastAsia" w:ascii="仿宋" w:hAnsi="仿宋" w:eastAsia="仿宋" w:cs="仿宋"/>
                <w:bCs/>
                <w:szCs w:val="21"/>
              </w:rPr>
              <w:t>1分</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313"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5（仅限主持人）</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861" w:type="dxa"/>
            <w:vMerge w:val="continue"/>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58" w:type="dxa"/>
            <w:vAlign w:val="center"/>
          </w:tcPr>
          <w:p>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313" w:type="dxa"/>
            <w:vAlign w:val="center"/>
          </w:tcPr>
          <w:p>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4（仅限主持人）</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105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15</w:t>
            </w:r>
          </w:p>
        </w:tc>
        <w:tc>
          <w:tcPr>
            <w:tcW w:w="865" w:type="dxa"/>
            <w:vMerge w:val="restart"/>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eastAsia="zh-CN"/>
              </w:rPr>
              <w:t>专业实践业绩</w:t>
            </w:r>
          </w:p>
        </w:tc>
        <w:tc>
          <w:tcPr>
            <w:tcW w:w="4719" w:type="dxa"/>
            <w:gridSpan w:val="2"/>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具有国家级以上裁判员证书，并担任国家级赛事的裁判员或省运动会或省大学生运动会单项裁判长（主裁判）</w:t>
            </w:r>
          </w:p>
        </w:tc>
        <w:tc>
          <w:tcPr>
            <w:tcW w:w="2313" w:type="dxa"/>
            <w:vAlign w:val="center"/>
          </w:tcPr>
          <w:p>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7.5</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restart"/>
            <w:vAlign w:val="center"/>
          </w:tcPr>
          <w:p>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r>
              <w:rPr>
                <w:rFonts w:hint="eastAsia" w:ascii="仿宋" w:hAnsi="仿宋" w:eastAsia="仿宋" w:cs="仿宋"/>
                <w:bCs/>
                <w:sz w:val="24"/>
                <w:lang w:val="en-US" w:eastAsia="zh-CN"/>
              </w:rPr>
              <w:t>1.</w:t>
            </w:r>
            <w:r>
              <w:rPr>
                <w:rFonts w:hint="eastAsia" w:ascii="仿宋" w:hAnsi="仿宋" w:eastAsia="仿宋" w:cs="仿宋"/>
                <w:bCs/>
                <w:sz w:val="24"/>
                <w:lang w:eastAsia="zh-CN"/>
              </w:rPr>
              <w:t>仅限申报体育学的教师；</w:t>
            </w:r>
          </w:p>
          <w:p>
            <w:pPr>
              <w:keepNext w:val="0"/>
              <w:keepLines w:val="0"/>
              <w:suppressLineNumbers w:val="0"/>
              <w:spacing w:before="0" w:beforeAutospacing="0" w:after="0" w:afterAutospacing="0" w:line="300" w:lineRule="exact"/>
              <w:ind w:left="0" w:right="0"/>
              <w:jc w:val="both"/>
              <w:rPr>
                <w:rFonts w:hint="default" w:ascii="仿宋" w:hAnsi="仿宋" w:eastAsia="仿宋" w:cs="仿宋"/>
                <w:bCs/>
                <w:sz w:val="24"/>
                <w:lang w:val="en-US" w:eastAsia="zh-CN"/>
              </w:rPr>
            </w:pPr>
            <w:r>
              <w:rPr>
                <w:rFonts w:hint="eastAsia" w:ascii="仿宋" w:hAnsi="仿宋" w:eastAsia="仿宋" w:cs="仿宋"/>
                <w:bCs/>
                <w:sz w:val="24"/>
                <w:lang w:val="en-US" w:eastAsia="zh-CN"/>
              </w:rPr>
              <w:t>2.计分赛事仅限本表中提到的赛事（来源皖教人〔2016〕2号），其他赛事一律不计分。</w:t>
            </w:r>
          </w:p>
        </w:tc>
        <w:tc>
          <w:tcPr>
            <w:tcW w:w="1221" w:type="dxa"/>
            <w:vMerge w:val="restart"/>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51" w:type="dxa"/>
            <w:vMerge w:val="continue"/>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865" w:type="dxa"/>
            <w:vMerge w:val="continue"/>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p>
        </w:tc>
        <w:tc>
          <w:tcPr>
            <w:tcW w:w="4719" w:type="dxa"/>
            <w:gridSpan w:val="2"/>
            <w:vAlign w:val="center"/>
          </w:tcPr>
          <w:p>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具有一级以上裁判员证书，并担任省级赛事裁判员或市运动会单项裁判长（主裁判）</w:t>
            </w:r>
          </w:p>
        </w:tc>
        <w:tc>
          <w:tcPr>
            <w:tcW w:w="2313" w:type="dxa"/>
            <w:vAlign w:val="center"/>
          </w:tcPr>
          <w:p>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4.5</w:t>
            </w:r>
          </w:p>
        </w:tc>
        <w:tc>
          <w:tcPr>
            <w:tcW w:w="3427"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820"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050" w:type="dxa"/>
            <w:vMerge w:val="continue"/>
            <w:vAlign w:val="center"/>
          </w:tcPr>
          <w:p>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p>
        </w:tc>
        <w:tc>
          <w:tcPr>
            <w:tcW w:w="1221" w:type="dxa"/>
            <w:vMerge w:val="continue"/>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blHeader/>
          <w:jc w:val="center"/>
        </w:trPr>
        <w:tc>
          <w:tcPr>
            <w:tcW w:w="105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Cs/>
                <w:color w:val="FF0000"/>
                <w:sz w:val="24"/>
              </w:rPr>
            </w:pPr>
          </w:p>
        </w:tc>
        <w:tc>
          <w:tcPr>
            <w:tcW w:w="18194" w:type="dxa"/>
            <w:gridSpan w:val="7"/>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 w:hAnsi="仿宋" w:eastAsia="仿宋" w:cs="仿宋"/>
                <w:bCs/>
                <w:color w:val="FF0000"/>
                <w:sz w:val="24"/>
              </w:rPr>
            </w:pPr>
            <w:r>
              <w:rPr>
                <w:rFonts w:hint="eastAsia" w:ascii="黑体" w:hAnsi="黑体" w:eastAsia="黑体" w:cs="黑体"/>
                <w:bCs/>
                <w:color w:val="FF0000"/>
                <w:sz w:val="32"/>
                <w:szCs w:val="32"/>
              </w:rPr>
              <w:t>申请人教学科研成果得分：</w:t>
            </w:r>
          </w:p>
        </w:tc>
        <w:tc>
          <w:tcPr>
            <w:tcW w:w="1221" w:type="dxa"/>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rFonts w:ascii="楷体" w:hAnsi="楷体" w:eastAsia="楷体" w:cs="楷体"/>
          <w:b/>
          <w:color w:val="FF0000"/>
          <w:sz w:val="36"/>
          <w:szCs w:val="36"/>
        </w:rPr>
      </w:pPr>
    </w:p>
    <w:sectPr>
      <w:footerReference r:id="rId3" w:type="default"/>
      <w:pgSz w:w="23811" w:h="16838"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5D8417D-F6F0-40A4-979B-92374674E4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1FE32ED0-60CF-44DD-950C-32F117D8FE5A}"/>
  </w:font>
  <w:font w:name="楷体">
    <w:panose1 w:val="02010609060101010101"/>
    <w:charset w:val="86"/>
    <w:family w:val="modern"/>
    <w:pitch w:val="default"/>
    <w:sig w:usb0="800002BF" w:usb1="38CF7CFA" w:usb2="00000016" w:usb3="00000000" w:csb0="00040001" w:csb1="00000000"/>
    <w:embedRegular r:id="rId3" w:fontKey="{36BEE1E2-E007-436C-A82B-4E26D81AD12E}"/>
  </w:font>
  <w:font w:name="华文中宋">
    <w:panose1 w:val="02010600040101010101"/>
    <w:charset w:val="86"/>
    <w:family w:val="auto"/>
    <w:pitch w:val="default"/>
    <w:sig w:usb0="00000287" w:usb1="080F0000" w:usb2="00000000" w:usb3="00000000" w:csb0="0004009F" w:csb1="DFD70000"/>
    <w:embedRegular r:id="rId4" w:fontKey="{FF4FBCC5-6EC8-47AF-A7EB-E5B37F920BEF}"/>
  </w:font>
  <w:font w:name="仿宋">
    <w:panose1 w:val="02010609060101010101"/>
    <w:charset w:val="86"/>
    <w:family w:val="modern"/>
    <w:pitch w:val="default"/>
    <w:sig w:usb0="800002BF" w:usb1="38CF7CFA" w:usb2="00000016" w:usb3="00000000" w:csb0="00040001" w:csb1="00000000"/>
    <w:embedRegular r:id="rId5" w:fontKey="{9A37C48D-2A72-4676-BBDE-1F35E44F795F}"/>
  </w:font>
  <w:font w:name="楷体_GB2312">
    <w:panose1 w:val="02010609030101010101"/>
    <w:charset w:val="86"/>
    <w:family w:val="modern"/>
    <w:pitch w:val="default"/>
    <w:sig w:usb0="00000001" w:usb1="080E0000" w:usb2="00000000" w:usb3="00000000" w:csb0="00040000" w:csb1="00000000"/>
    <w:embedRegular r:id="rId6" w:fontKey="{A7BCF157-3C34-49D6-A31D-C07C47044A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2ZjQzZDQ0NjAyMzhhZWFkYzRhYTViNGFhYTc0N2UifQ=="/>
  </w:docVars>
  <w:rsids>
    <w:rsidRoot w:val="2AB574D3"/>
    <w:rsid w:val="00010258"/>
    <w:rsid w:val="0002450E"/>
    <w:rsid w:val="000D667D"/>
    <w:rsid w:val="0010400A"/>
    <w:rsid w:val="001929D3"/>
    <w:rsid w:val="001C237C"/>
    <w:rsid w:val="001D33F2"/>
    <w:rsid w:val="0036087C"/>
    <w:rsid w:val="003C71B8"/>
    <w:rsid w:val="003E60CD"/>
    <w:rsid w:val="00457374"/>
    <w:rsid w:val="00527D1C"/>
    <w:rsid w:val="005D3972"/>
    <w:rsid w:val="00630EAC"/>
    <w:rsid w:val="00713898"/>
    <w:rsid w:val="00794F3E"/>
    <w:rsid w:val="00856FB9"/>
    <w:rsid w:val="00954775"/>
    <w:rsid w:val="009B3197"/>
    <w:rsid w:val="00A858EB"/>
    <w:rsid w:val="00AB203D"/>
    <w:rsid w:val="00AE393B"/>
    <w:rsid w:val="00AE7858"/>
    <w:rsid w:val="00B75CD3"/>
    <w:rsid w:val="00C6684D"/>
    <w:rsid w:val="00C7029D"/>
    <w:rsid w:val="00C803E2"/>
    <w:rsid w:val="00D25BD9"/>
    <w:rsid w:val="00DC2EFD"/>
    <w:rsid w:val="00E02DBA"/>
    <w:rsid w:val="00F025F2"/>
    <w:rsid w:val="00F2078C"/>
    <w:rsid w:val="00F26C3D"/>
    <w:rsid w:val="00F87BE3"/>
    <w:rsid w:val="00FA3467"/>
    <w:rsid w:val="03595C3F"/>
    <w:rsid w:val="03B46C2F"/>
    <w:rsid w:val="05643617"/>
    <w:rsid w:val="060177AB"/>
    <w:rsid w:val="065C2434"/>
    <w:rsid w:val="0737795B"/>
    <w:rsid w:val="07436B9B"/>
    <w:rsid w:val="0A6F5721"/>
    <w:rsid w:val="0D9E6F51"/>
    <w:rsid w:val="0DA670FD"/>
    <w:rsid w:val="0DB74BA4"/>
    <w:rsid w:val="0E1F4A56"/>
    <w:rsid w:val="0E6703B3"/>
    <w:rsid w:val="0F9F5660"/>
    <w:rsid w:val="0FFF7484"/>
    <w:rsid w:val="1043061C"/>
    <w:rsid w:val="10C669DC"/>
    <w:rsid w:val="110330FB"/>
    <w:rsid w:val="11646FA6"/>
    <w:rsid w:val="11EC33F7"/>
    <w:rsid w:val="12530954"/>
    <w:rsid w:val="13C55789"/>
    <w:rsid w:val="14A77F40"/>
    <w:rsid w:val="15921F4F"/>
    <w:rsid w:val="15F77A37"/>
    <w:rsid w:val="186A73B8"/>
    <w:rsid w:val="193F718B"/>
    <w:rsid w:val="198033E4"/>
    <w:rsid w:val="1B0C0E60"/>
    <w:rsid w:val="1C1A71AD"/>
    <w:rsid w:val="1C410812"/>
    <w:rsid w:val="1C5A56AE"/>
    <w:rsid w:val="1C796CC0"/>
    <w:rsid w:val="1D262139"/>
    <w:rsid w:val="1E8F726B"/>
    <w:rsid w:val="202B2B44"/>
    <w:rsid w:val="20A5580B"/>
    <w:rsid w:val="234D7183"/>
    <w:rsid w:val="24A25ED5"/>
    <w:rsid w:val="255C6713"/>
    <w:rsid w:val="259C0B2D"/>
    <w:rsid w:val="26851098"/>
    <w:rsid w:val="26C271AA"/>
    <w:rsid w:val="28543548"/>
    <w:rsid w:val="28C16030"/>
    <w:rsid w:val="28F66292"/>
    <w:rsid w:val="2A951E91"/>
    <w:rsid w:val="2AB574D3"/>
    <w:rsid w:val="2B275AB2"/>
    <w:rsid w:val="2C2518AD"/>
    <w:rsid w:val="2C886238"/>
    <w:rsid w:val="2CEA441E"/>
    <w:rsid w:val="2F1C7356"/>
    <w:rsid w:val="2F402F65"/>
    <w:rsid w:val="30BB75CE"/>
    <w:rsid w:val="317C29A7"/>
    <w:rsid w:val="328B58AA"/>
    <w:rsid w:val="32B20082"/>
    <w:rsid w:val="32CF204A"/>
    <w:rsid w:val="33E118EB"/>
    <w:rsid w:val="341B058C"/>
    <w:rsid w:val="34793A7B"/>
    <w:rsid w:val="34A336E3"/>
    <w:rsid w:val="34C272FE"/>
    <w:rsid w:val="35291D36"/>
    <w:rsid w:val="3601701C"/>
    <w:rsid w:val="36603215"/>
    <w:rsid w:val="38B40D22"/>
    <w:rsid w:val="38B92FF9"/>
    <w:rsid w:val="3D0F2205"/>
    <w:rsid w:val="3E6B5A1E"/>
    <w:rsid w:val="3F7737BC"/>
    <w:rsid w:val="3FCE63A8"/>
    <w:rsid w:val="3FE21E53"/>
    <w:rsid w:val="40754D3F"/>
    <w:rsid w:val="413260C8"/>
    <w:rsid w:val="45274702"/>
    <w:rsid w:val="45D710FF"/>
    <w:rsid w:val="45F333B4"/>
    <w:rsid w:val="4607087F"/>
    <w:rsid w:val="46225F0C"/>
    <w:rsid w:val="46A33F52"/>
    <w:rsid w:val="476708C0"/>
    <w:rsid w:val="47F72214"/>
    <w:rsid w:val="48362C2E"/>
    <w:rsid w:val="4A0A514A"/>
    <w:rsid w:val="4AAE65AF"/>
    <w:rsid w:val="4C953D2E"/>
    <w:rsid w:val="4CF6756F"/>
    <w:rsid w:val="4D8F0AF4"/>
    <w:rsid w:val="4FBB6514"/>
    <w:rsid w:val="50840906"/>
    <w:rsid w:val="50EE418A"/>
    <w:rsid w:val="5250680E"/>
    <w:rsid w:val="52715391"/>
    <w:rsid w:val="53D822A1"/>
    <w:rsid w:val="552600EB"/>
    <w:rsid w:val="589B0F31"/>
    <w:rsid w:val="58F41E7D"/>
    <w:rsid w:val="591A2206"/>
    <w:rsid w:val="59485C36"/>
    <w:rsid w:val="5B2F3003"/>
    <w:rsid w:val="5CF25092"/>
    <w:rsid w:val="5DEC4171"/>
    <w:rsid w:val="5E3C1AD0"/>
    <w:rsid w:val="5E764144"/>
    <w:rsid w:val="5EEE3865"/>
    <w:rsid w:val="5F661EA2"/>
    <w:rsid w:val="5F7E4D8A"/>
    <w:rsid w:val="5F8C7EA4"/>
    <w:rsid w:val="5FE172FC"/>
    <w:rsid w:val="6309029F"/>
    <w:rsid w:val="654B5E4B"/>
    <w:rsid w:val="65817D0B"/>
    <w:rsid w:val="65925B9C"/>
    <w:rsid w:val="65E53B21"/>
    <w:rsid w:val="681837B0"/>
    <w:rsid w:val="69673FE6"/>
    <w:rsid w:val="69A14A88"/>
    <w:rsid w:val="69C045B1"/>
    <w:rsid w:val="69C71A95"/>
    <w:rsid w:val="69FB5111"/>
    <w:rsid w:val="6A6460EF"/>
    <w:rsid w:val="6AB4471D"/>
    <w:rsid w:val="6BAF7546"/>
    <w:rsid w:val="6BFF4F95"/>
    <w:rsid w:val="6D6E6129"/>
    <w:rsid w:val="6FCE2C24"/>
    <w:rsid w:val="6FE01E3C"/>
    <w:rsid w:val="70E93092"/>
    <w:rsid w:val="71BF101E"/>
    <w:rsid w:val="71D21648"/>
    <w:rsid w:val="71DB61D4"/>
    <w:rsid w:val="71E26AE9"/>
    <w:rsid w:val="72B1095D"/>
    <w:rsid w:val="74580274"/>
    <w:rsid w:val="74965648"/>
    <w:rsid w:val="74DE0215"/>
    <w:rsid w:val="759C0AB2"/>
    <w:rsid w:val="761A629E"/>
    <w:rsid w:val="76740CBF"/>
    <w:rsid w:val="77A0053A"/>
    <w:rsid w:val="78611E85"/>
    <w:rsid w:val="791F5E77"/>
    <w:rsid w:val="79702E6E"/>
    <w:rsid w:val="7BBC4B1F"/>
    <w:rsid w:val="7C1F4747"/>
    <w:rsid w:val="7C923CDE"/>
    <w:rsid w:val="7CCF5BB1"/>
    <w:rsid w:val="7D4D2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9"/>
    <w:qFormat/>
    <w:uiPriority w:val="0"/>
    <w:pPr>
      <w:jc w:val="left"/>
    </w:pPr>
    <w:rPr>
      <w:rFonts w:ascii="Calibri" w:hAnsi="Calibri"/>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basedOn w:val="7"/>
    <w:qFormat/>
    <w:uiPriority w:val="20"/>
    <w:rPr>
      <w:i/>
      <w:iCs/>
    </w:rPr>
  </w:style>
  <w:style w:type="character" w:customStyle="1" w:styleId="9">
    <w:name w:val="批注文字 Char"/>
    <w:link w:val="2"/>
    <w:qFormat/>
    <w:uiPriority w:val="0"/>
    <w:rPr>
      <w:rFonts w:ascii="Calibri" w:hAnsi="Calibri" w:eastAsia="宋体"/>
      <w:kern w:val="2"/>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5743</Words>
  <Characters>6093</Characters>
  <Lines>13</Lines>
  <Paragraphs>16</Paragraphs>
  <TotalTime>25</TotalTime>
  <ScaleCrop>false</ScaleCrop>
  <LinksUpToDate>false</LinksUpToDate>
  <CharactersWithSpaces>6135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2021-10-14T12:07:00Z</dcterms:created>
  <dc:creator>必成</dc:creator>
  <cp:lastModifiedBy>QH</cp:lastModifiedBy>
  <cp:lastPrinted>2021-10-27T00:43:00Z</cp:lastPrinted>
  <dcterms:modified xsi:type="dcterms:W3CDTF">2022-12-06T07:20:04Z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52D43B05C8FB4C829B1DF881D82B85FB</vt:lpwstr>
  </property>
</Properties>
</file>