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D3058">
      <w:pPr>
        <w:spacing w:line="520" w:lineRule="exact"/>
        <w:rPr>
          <w:rFonts w:ascii="黑体" w:hAnsi="黑体" w:eastAsia="黑体" w:cs="黑体"/>
          <w:sz w:val="28"/>
          <w:szCs w:val="28"/>
          <w:highlight w:val="none"/>
        </w:rPr>
      </w:pPr>
      <w:r>
        <w:rPr>
          <w:rFonts w:hint="eastAsia" w:ascii="黑体" w:hAnsi="黑体" w:eastAsia="黑体" w:cs="黑体"/>
          <w:sz w:val="28"/>
          <w:szCs w:val="28"/>
          <w:highlight w:val="none"/>
        </w:rPr>
        <w:t>附件1：</w:t>
      </w:r>
    </w:p>
    <w:p w14:paraId="6A7E8843">
      <w:pPr>
        <w:spacing w:line="520" w:lineRule="exact"/>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学校质量年报主体报告编制内容及任务分解</w:t>
      </w:r>
    </w:p>
    <w:tbl>
      <w:tblPr>
        <w:tblStyle w:val="8"/>
        <w:tblW w:w="1584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564"/>
        <w:gridCol w:w="2572"/>
        <w:gridCol w:w="6069"/>
        <w:gridCol w:w="1444"/>
        <w:gridCol w:w="1677"/>
      </w:tblGrid>
      <w:tr w14:paraId="12C7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blHeader/>
        </w:trPr>
        <w:tc>
          <w:tcPr>
            <w:tcW w:w="1515" w:type="dxa"/>
            <w:shd w:val="clear" w:color="auto" w:fill="auto"/>
            <w:noWrap/>
            <w:vAlign w:val="center"/>
          </w:tcPr>
          <w:p w14:paraId="11F8EE2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b/>
                <w:bCs/>
                <w:color w:val="000000"/>
                <w:kern w:val="0"/>
                <w:sz w:val="28"/>
                <w:szCs w:val="28"/>
                <w:highlight w:val="none"/>
              </w:rPr>
            </w:pPr>
            <w:r>
              <w:rPr>
                <w:rFonts w:hint="eastAsia" w:ascii="仿宋_GB2312" w:hAnsi="等线" w:eastAsia="仿宋_GB2312" w:cs="宋体"/>
                <w:b/>
                <w:bCs/>
                <w:color w:val="000000"/>
                <w:kern w:val="0"/>
                <w:sz w:val="28"/>
                <w:szCs w:val="28"/>
                <w:highlight w:val="none"/>
              </w:rPr>
              <w:t>一级目录</w:t>
            </w:r>
          </w:p>
        </w:tc>
        <w:tc>
          <w:tcPr>
            <w:tcW w:w="2564" w:type="dxa"/>
            <w:shd w:val="clear" w:color="auto" w:fill="auto"/>
            <w:noWrap/>
            <w:vAlign w:val="center"/>
          </w:tcPr>
          <w:p w14:paraId="2ED76E3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b/>
                <w:bCs/>
                <w:color w:val="000000"/>
                <w:kern w:val="0"/>
                <w:sz w:val="28"/>
                <w:szCs w:val="28"/>
                <w:highlight w:val="none"/>
              </w:rPr>
            </w:pPr>
            <w:r>
              <w:rPr>
                <w:rFonts w:hint="eastAsia" w:ascii="仿宋_GB2312" w:hAnsi="等线" w:eastAsia="仿宋_GB2312" w:cs="宋体"/>
                <w:b/>
                <w:bCs/>
                <w:color w:val="000000"/>
                <w:kern w:val="0"/>
                <w:sz w:val="28"/>
                <w:szCs w:val="28"/>
                <w:highlight w:val="none"/>
              </w:rPr>
              <w:t>二级目录</w:t>
            </w:r>
          </w:p>
        </w:tc>
        <w:tc>
          <w:tcPr>
            <w:tcW w:w="2572" w:type="dxa"/>
            <w:shd w:val="clear" w:color="auto" w:fill="auto"/>
            <w:noWrap/>
            <w:vAlign w:val="center"/>
          </w:tcPr>
          <w:p w14:paraId="669C53A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b/>
                <w:bCs/>
                <w:color w:val="000000"/>
                <w:kern w:val="0"/>
                <w:sz w:val="28"/>
                <w:szCs w:val="28"/>
                <w:highlight w:val="none"/>
              </w:rPr>
            </w:pPr>
            <w:r>
              <w:rPr>
                <w:rFonts w:hint="eastAsia" w:ascii="仿宋_GB2312" w:hAnsi="等线" w:eastAsia="仿宋_GB2312" w:cs="宋体"/>
                <w:b/>
                <w:bCs/>
                <w:color w:val="000000"/>
                <w:kern w:val="0"/>
                <w:sz w:val="28"/>
                <w:szCs w:val="28"/>
                <w:highlight w:val="none"/>
              </w:rPr>
              <w:t>三级目录</w:t>
            </w:r>
          </w:p>
        </w:tc>
        <w:tc>
          <w:tcPr>
            <w:tcW w:w="6069" w:type="dxa"/>
            <w:shd w:val="clear" w:color="auto" w:fill="auto"/>
            <w:vAlign w:val="center"/>
          </w:tcPr>
          <w:p w14:paraId="5C92EF2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b/>
                <w:bCs/>
                <w:color w:val="000000"/>
                <w:kern w:val="0"/>
                <w:sz w:val="28"/>
                <w:szCs w:val="28"/>
                <w:highlight w:val="none"/>
              </w:rPr>
            </w:pPr>
            <w:r>
              <w:rPr>
                <w:rFonts w:hint="eastAsia" w:ascii="仿宋_GB2312" w:hAnsi="等线" w:eastAsia="仿宋_GB2312" w:cs="宋体"/>
                <w:b/>
                <w:bCs/>
                <w:color w:val="000000"/>
                <w:kern w:val="0"/>
                <w:sz w:val="28"/>
                <w:szCs w:val="28"/>
                <w:highlight w:val="none"/>
              </w:rPr>
              <w:t>编写内容建议</w:t>
            </w:r>
          </w:p>
        </w:tc>
        <w:tc>
          <w:tcPr>
            <w:tcW w:w="1444" w:type="dxa"/>
            <w:shd w:val="clear" w:color="auto" w:fill="auto"/>
            <w:vAlign w:val="center"/>
          </w:tcPr>
          <w:p w14:paraId="6532A89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b/>
                <w:bCs/>
                <w:color w:val="000000"/>
                <w:kern w:val="0"/>
                <w:sz w:val="28"/>
                <w:szCs w:val="28"/>
                <w:highlight w:val="none"/>
              </w:rPr>
            </w:pPr>
            <w:r>
              <w:rPr>
                <w:rFonts w:hint="eastAsia" w:ascii="仿宋_GB2312" w:hAnsi="等线" w:eastAsia="仿宋_GB2312" w:cs="宋体"/>
                <w:b/>
                <w:bCs/>
                <w:color w:val="000000"/>
                <w:kern w:val="0"/>
                <w:sz w:val="28"/>
                <w:szCs w:val="28"/>
                <w:highlight w:val="none"/>
              </w:rPr>
              <w:t>字数限制</w:t>
            </w:r>
            <w:r>
              <w:rPr>
                <w:rFonts w:hint="eastAsia" w:ascii="仿宋_GB2312" w:hAnsi="等线" w:eastAsia="仿宋_GB2312" w:cs="宋体"/>
                <w:b/>
                <w:bCs/>
                <w:color w:val="000000"/>
                <w:kern w:val="0"/>
                <w:sz w:val="28"/>
                <w:szCs w:val="28"/>
                <w:highlight w:val="none"/>
              </w:rPr>
              <w:br w:type="textWrapping"/>
            </w:r>
            <w:r>
              <w:rPr>
                <w:rFonts w:hint="eastAsia" w:ascii="仿宋_GB2312" w:hAnsi="等线" w:eastAsia="仿宋_GB2312" w:cs="宋体"/>
                <w:b/>
                <w:bCs/>
                <w:color w:val="000000"/>
                <w:kern w:val="0"/>
                <w:sz w:val="28"/>
                <w:szCs w:val="28"/>
                <w:highlight w:val="none"/>
              </w:rPr>
              <w:t>（字）</w:t>
            </w:r>
          </w:p>
        </w:tc>
        <w:tc>
          <w:tcPr>
            <w:tcW w:w="1677" w:type="dxa"/>
            <w:shd w:val="clear" w:color="auto" w:fill="auto"/>
            <w:noWrap/>
            <w:vAlign w:val="center"/>
          </w:tcPr>
          <w:p w14:paraId="604B8F3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b/>
                <w:bCs/>
                <w:color w:val="000000"/>
                <w:kern w:val="0"/>
                <w:sz w:val="28"/>
                <w:szCs w:val="28"/>
                <w:highlight w:val="none"/>
              </w:rPr>
            </w:pPr>
            <w:r>
              <w:rPr>
                <w:rFonts w:hint="eastAsia" w:ascii="仿宋_GB2312" w:hAnsi="等线" w:eastAsia="仿宋_GB2312" w:cs="宋体"/>
                <w:b/>
                <w:bCs/>
                <w:color w:val="000000"/>
                <w:kern w:val="0"/>
                <w:sz w:val="28"/>
                <w:szCs w:val="28"/>
                <w:highlight w:val="none"/>
              </w:rPr>
              <w:t>负责部门</w:t>
            </w:r>
          </w:p>
        </w:tc>
      </w:tr>
      <w:tr w14:paraId="5F8D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515" w:type="dxa"/>
            <w:vMerge w:val="restart"/>
            <w:shd w:val="clear" w:color="auto" w:fill="auto"/>
            <w:noWrap/>
            <w:vAlign w:val="center"/>
          </w:tcPr>
          <w:p w14:paraId="43EF415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前言</w:t>
            </w:r>
          </w:p>
        </w:tc>
        <w:tc>
          <w:tcPr>
            <w:tcW w:w="2564" w:type="dxa"/>
            <w:shd w:val="clear" w:color="auto" w:fill="auto"/>
            <w:noWrap/>
            <w:vAlign w:val="center"/>
          </w:tcPr>
          <w:p w14:paraId="70196ED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学校简介</w:t>
            </w:r>
          </w:p>
        </w:tc>
        <w:tc>
          <w:tcPr>
            <w:tcW w:w="2572" w:type="dxa"/>
            <w:vMerge w:val="restart"/>
            <w:shd w:val="clear" w:color="auto" w:fill="auto"/>
            <w:noWrap/>
            <w:vAlign w:val="center"/>
          </w:tcPr>
          <w:p w14:paraId="3B3D65B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6069" w:type="dxa"/>
            <w:shd w:val="clear" w:color="auto" w:fill="auto"/>
            <w:vAlign w:val="center"/>
          </w:tcPr>
          <w:p w14:paraId="232C73A2">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学院概况、办学类型、办学定位、专业与产业布局、</w:t>
            </w:r>
            <w:r>
              <w:rPr>
                <w:rFonts w:hint="eastAsia" w:ascii="仿宋_GB2312" w:hAnsi="等线" w:eastAsia="仿宋_GB2312" w:cs="宋体"/>
                <w:color w:val="000000"/>
                <w:kern w:val="0"/>
                <w:sz w:val="24"/>
                <w:highlight w:val="none"/>
                <w:lang w:val="en-US" w:eastAsia="zh-CN"/>
              </w:rPr>
              <w:t>师资规模、</w:t>
            </w:r>
            <w:r>
              <w:rPr>
                <w:rFonts w:hint="eastAsia" w:ascii="仿宋_GB2312" w:hAnsi="等线" w:eastAsia="仿宋_GB2312" w:cs="宋体"/>
                <w:color w:val="000000"/>
                <w:kern w:val="0"/>
                <w:sz w:val="24"/>
                <w:highlight w:val="none"/>
              </w:rPr>
              <w:t>办学特色、学校获奖</w:t>
            </w:r>
            <w:r>
              <w:rPr>
                <w:rFonts w:hint="eastAsia" w:ascii="仿宋_GB2312" w:hAnsi="等线" w:eastAsia="仿宋_GB2312" w:cs="宋体"/>
                <w:color w:val="000000"/>
                <w:kern w:val="0"/>
                <w:sz w:val="24"/>
                <w:highlight w:val="none"/>
                <w:lang w:val="en-US" w:eastAsia="zh-CN"/>
              </w:rPr>
              <w:t>情况</w:t>
            </w:r>
            <w:r>
              <w:rPr>
                <w:rFonts w:hint="eastAsia" w:ascii="仿宋_GB2312" w:hAnsi="等线" w:eastAsia="仿宋_GB2312" w:cs="宋体"/>
                <w:color w:val="000000"/>
                <w:kern w:val="0"/>
                <w:sz w:val="24"/>
                <w:highlight w:val="none"/>
              </w:rPr>
              <w:t>等。</w:t>
            </w:r>
          </w:p>
        </w:tc>
        <w:tc>
          <w:tcPr>
            <w:tcW w:w="1444" w:type="dxa"/>
            <w:vMerge w:val="restart"/>
            <w:shd w:val="clear" w:color="auto" w:fill="auto"/>
            <w:noWrap/>
            <w:vAlign w:val="center"/>
          </w:tcPr>
          <w:p w14:paraId="1ADAFE9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1500</w:t>
            </w:r>
          </w:p>
        </w:tc>
        <w:tc>
          <w:tcPr>
            <w:tcW w:w="1677" w:type="dxa"/>
            <w:shd w:val="clear" w:color="auto" w:fill="auto"/>
            <w:vAlign w:val="center"/>
          </w:tcPr>
          <w:p w14:paraId="2B00DF6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办公室</w:t>
            </w:r>
          </w:p>
        </w:tc>
      </w:tr>
      <w:tr w14:paraId="4456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15" w:type="dxa"/>
            <w:vMerge w:val="continue"/>
            <w:vAlign w:val="center"/>
          </w:tcPr>
          <w:p w14:paraId="72F1EEE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shd w:val="clear" w:color="auto" w:fill="auto"/>
            <w:noWrap/>
            <w:vAlign w:val="center"/>
          </w:tcPr>
          <w:p w14:paraId="16D0514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编制目的及编制过程</w:t>
            </w:r>
          </w:p>
        </w:tc>
        <w:tc>
          <w:tcPr>
            <w:tcW w:w="2572" w:type="dxa"/>
            <w:vMerge w:val="continue"/>
            <w:vAlign w:val="center"/>
          </w:tcPr>
          <w:p w14:paraId="0CBCC4E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6069" w:type="dxa"/>
            <w:vAlign w:val="center"/>
          </w:tcPr>
          <w:p w14:paraId="5CEE9072">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编制目的及编制过程</w:t>
            </w:r>
          </w:p>
        </w:tc>
        <w:tc>
          <w:tcPr>
            <w:tcW w:w="1444" w:type="dxa"/>
            <w:vMerge w:val="continue"/>
            <w:vAlign w:val="center"/>
          </w:tcPr>
          <w:p w14:paraId="254FDE7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Align w:val="center"/>
          </w:tcPr>
          <w:p w14:paraId="6C1ECB4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0AB6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15" w:type="dxa"/>
            <w:vMerge w:val="continue"/>
            <w:vAlign w:val="center"/>
          </w:tcPr>
          <w:p w14:paraId="17AE173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shd w:val="clear" w:color="auto" w:fill="auto"/>
            <w:noWrap/>
            <w:vAlign w:val="center"/>
          </w:tcPr>
          <w:p w14:paraId="0682B4D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rPr>
              <w:t>202</w:t>
            </w:r>
            <w:r>
              <w:rPr>
                <w:rFonts w:hint="eastAsia" w:ascii="仿宋_GB2312" w:hAnsi="等线" w:eastAsia="仿宋_GB2312" w:cs="宋体"/>
                <w:color w:val="000000"/>
                <w:kern w:val="0"/>
                <w:sz w:val="24"/>
                <w:highlight w:val="none"/>
                <w:lang w:val="en-US" w:eastAsia="zh-CN"/>
              </w:rPr>
              <w:t>4</w:t>
            </w:r>
            <w:r>
              <w:rPr>
                <w:rFonts w:hint="eastAsia" w:ascii="仿宋_GB2312" w:hAnsi="等线" w:eastAsia="仿宋_GB2312" w:cs="宋体"/>
                <w:color w:val="000000"/>
                <w:kern w:val="0"/>
                <w:sz w:val="24"/>
                <w:highlight w:val="none"/>
              </w:rPr>
              <w:t>年</w:t>
            </w:r>
            <w:r>
              <w:rPr>
                <w:rFonts w:hint="eastAsia" w:ascii="仿宋_GB2312" w:hAnsi="等线" w:eastAsia="仿宋_GB2312" w:cs="宋体"/>
                <w:color w:val="000000"/>
                <w:kern w:val="0"/>
                <w:sz w:val="24"/>
                <w:highlight w:val="none"/>
                <w:lang w:val="en-US" w:eastAsia="zh-CN"/>
              </w:rPr>
              <w:t>学校重点荣誉一览表</w:t>
            </w:r>
          </w:p>
        </w:tc>
        <w:tc>
          <w:tcPr>
            <w:tcW w:w="2572" w:type="dxa"/>
            <w:vMerge w:val="continue"/>
            <w:vAlign w:val="center"/>
          </w:tcPr>
          <w:p w14:paraId="1B1BB4E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6069" w:type="dxa"/>
            <w:vAlign w:val="center"/>
          </w:tcPr>
          <w:p w14:paraId="540D2D3F">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rPr>
            </w:pPr>
            <w:r>
              <w:rPr>
                <w:rFonts w:hint="eastAsia" w:ascii="仿宋_GB2312" w:hAnsi="等线" w:eastAsia="仿宋_GB2312" w:cs="宋体"/>
                <w:color w:val="000000"/>
                <w:kern w:val="0"/>
                <w:sz w:val="24"/>
                <w:highlight w:val="none"/>
              </w:rPr>
              <w:t>202</w:t>
            </w:r>
            <w:r>
              <w:rPr>
                <w:rFonts w:hint="eastAsia" w:ascii="仿宋_GB2312" w:hAnsi="等线" w:eastAsia="仿宋_GB2312" w:cs="宋体"/>
                <w:color w:val="000000"/>
                <w:kern w:val="0"/>
                <w:sz w:val="24"/>
                <w:highlight w:val="none"/>
                <w:lang w:val="en-US" w:eastAsia="zh-CN"/>
              </w:rPr>
              <w:t>4</w:t>
            </w:r>
            <w:r>
              <w:rPr>
                <w:rFonts w:hint="eastAsia" w:ascii="仿宋_GB2312" w:hAnsi="等线" w:eastAsia="仿宋_GB2312" w:cs="宋体"/>
                <w:color w:val="000000"/>
                <w:kern w:val="0"/>
                <w:sz w:val="24"/>
                <w:highlight w:val="none"/>
              </w:rPr>
              <w:t>年</w:t>
            </w:r>
            <w:r>
              <w:rPr>
                <w:rFonts w:hint="eastAsia" w:ascii="仿宋_GB2312" w:hAnsi="等线" w:eastAsia="仿宋_GB2312" w:cs="宋体"/>
                <w:color w:val="000000"/>
                <w:kern w:val="0"/>
                <w:sz w:val="24"/>
                <w:highlight w:val="none"/>
                <w:lang w:val="en-US" w:eastAsia="zh-CN"/>
              </w:rPr>
              <w:t>学校重点荣誉（列表）</w:t>
            </w:r>
          </w:p>
        </w:tc>
        <w:tc>
          <w:tcPr>
            <w:tcW w:w="1444" w:type="dxa"/>
            <w:vMerge w:val="continue"/>
            <w:vAlign w:val="center"/>
          </w:tcPr>
          <w:p w14:paraId="322A1A3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Align w:val="center"/>
          </w:tcPr>
          <w:p w14:paraId="69C4CB2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办公室</w:t>
            </w:r>
          </w:p>
        </w:tc>
      </w:tr>
      <w:tr w14:paraId="5792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5" w:type="dxa"/>
            <w:vMerge w:val="restart"/>
            <w:tcBorders>
              <w:left w:val="single" w:color="auto" w:sz="4" w:space="0"/>
            </w:tcBorders>
            <w:shd w:val="clear" w:color="auto" w:fill="auto"/>
            <w:noWrap/>
            <w:vAlign w:val="center"/>
          </w:tcPr>
          <w:p w14:paraId="5C68294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lang w:val="en-US" w:eastAsia="zh-CN"/>
              </w:rPr>
              <w:t>1.人才培养</w:t>
            </w:r>
          </w:p>
        </w:tc>
        <w:tc>
          <w:tcPr>
            <w:tcW w:w="2564" w:type="dxa"/>
            <w:shd w:val="clear" w:color="auto" w:fill="auto"/>
            <w:noWrap/>
            <w:vAlign w:val="center"/>
          </w:tcPr>
          <w:p w14:paraId="7E8F7FF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1.1党建引领</w:t>
            </w:r>
          </w:p>
        </w:tc>
        <w:tc>
          <w:tcPr>
            <w:tcW w:w="2572" w:type="dxa"/>
            <w:shd w:val="clear" w:color="auto" w:fill="auto"/>
            <w:noWrap/>
            <w:vAlign w:val="center"/>
          </w:tcPr>
          <w:p w14:paraId="0531F9C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rPr>
              <w:t>——</w:t>
            </w:r>
          </w:p>
        </w:tc>
        <w:tc>
          <w:tcPr>
            <w:tcW w:w="6069" w:type="dxa"/>
            <w:shd w:val="clear" w:color="auto" w:fill="auto"/>
            <w:vAlign w:val="center"/>
          </w:tcPr>
          <w:p w14:paraId="7F4DE554">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概述：学校党建概况、基层党组织建设，党建引领</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党建特色工作</w:t>
            </w:r>
            <w:r>
              <w:rPr>
                <w:rFonts w:hint="eastAsia" w:ascii="仿宋_GB2312" w:hAnsi="等线" w:eastAsia="仿宋_GB2312" w:cs="宋体"/>
                <w:color w:val="000000"/>
                <w:kern w:val="0"/>
                <w:sz w:val="24"/>
                <w:highlight w:val="none"/>
                <w:lang w:val="en-US" w:eastAsia="zh-CN"/>
              </w:rPr>
              <w:t>与成果（成效）等</w:t>
            </w:r>
            <w:r>
              <w:rPr>
                <w:rFonts w:hint="eastAsia" w:ascii="仿宋_GB2312" w:hAnsi="等线" w:eastAsia="仿宋_GB2312" w:cs="宋体"/>
                <w:color w:val="000000"/>
                <w:kern w:val="0"/>
                <w:sz w:val="24"/>
                <w:highlight w:val="none"/>
              </w:rPr>
              <w:t>。</w:t>
            </w:r>
          </w:p>
        </w:tc>
        <w:tc>
          <w:tcPr>
            <w:tcW w:w="1444" w:type="dxa"/>
            <w:shd w:val="clear" w:color="auto" w:fill="auto"/>
            <w:vAlign w:val="center"/>
          </w:tcPr>
          <w:p w14:paraId="3B679EF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600</w:t>
            </w:r>
          </w:p>
        </w:tc>
        <w:tc>
          <w:tcPr>
            <w:tcW w:w="1677" w:type="dxa"/>
            <w:shd w:val="clear" w:color="auto" w:fill="auto"/>
            <w:vAlign w:val="center"/>
          </w:tcPr>
          <w:p w14:paraId="67EBB35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组织人事处</w:t>
            </w:r>
          </w:p>
          <w:p w14:paraId="642D997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办公室</w:t>
            </w:r>
          </w:p>
        </w:tc>
      </w:tr>
      <w:tr w14:paraId="75D6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515" w:type="dxa"/>
            <w:vMerge w:val="continue"/>
            <w:tcBorders>
              <w:left w:val="single" w:color="auto" w:sz="4" w:space="0"/>
            </w:tcBorders>
            <w:vAlign w:val="center"/>
          </w:tcPr>
          <w:p w14:paraId="565FEAD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restart"/>
            <w:vAlign w:val="center"/>
          </w:tcPr>
          <w:p w14:paraId="681ACED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2立德树人</w:t>
            </w:r>
          </w:p>
        </w:tc>
        <w:tc>
          <w:tcPr>
            <w:tcW w:w="2572" w:type="dxa"/>
            <w:shd w:val="clear" w:color="auto" w:fill="auto"/>
            <w:noWrap/>
            <w:vAlign w:val="center"/>
          </w:tcPr>
          <w:p w14:paraId="268F1F6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1.2.</w:t>
            </w:r>
            <w:r>
              <w:rPr>
                <w:rFonts w:hint="eastAsia" w:ascii="仿宋_GB2312" w:hAnsi="等线" w:eastAsia="仿宋_GB2312" w:cs="宋体"/>
                <w:color w:val="000000"/>
                <w:kern w:val="0"/>
                <w:sz w:val="24"/>
                <w:highlight w:val="none"/>
                <w:lang w:val="en-US" w:eastAsia="zh-CN"/>
              </w:rPr>
              <w:t>1</w:t>
            </w:r>
            <w:r>
              <w:rPr>
                <w:rFonts w:hint="eastAsia" w:ascii="仿宋_GB2312" w:hAnsi="等线" w:eastAsia="仿宋_GB2312" w:cs="宋体"/>
                <w:color w:val="000000"/>
                <w:kern w:val="0"/>
                <w:sz w:val="24"/>
                <w:highlight w:val="none"/>
              </w:rPr>
              <w:t>三全育人</w:t>
            </w:r>
          </w:p>
        </w:tc>
        <w:tc>
          <w:tcPr>
            <w:tcW w:w="6069" w:type="dxa"/>
            <w:shd w:val="clear" w:color="auto" w:fill="auto"/>
            <w:vAlign w:val="center"/>
          </w:tcPr>
          <w:p w14:paraId="181C03EB">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概述</w:t>
            </w:r>
            <w:r>
              <w:rPr>
                <w:rFonts w:hint="eastAsia" w:ascii="仿宋_GB2312" w:hAnsi="等线" w:eastAsia="仿宋_GB2312" w:cs="宋体"/>
                <w:color w:val="000000"/>
                <w:kern w:val="0"/>
                <w:sz w:val="24"/>
                <w:highlight w:val="none"/>
              </w:rPr>
              <w:t>三全育人体系建设情况、推进情况、实践情况及取得的标志性成效。</w:t>
            </w:r>
          </w:p>
        </w:tc>
        <w:tc>
          <w:tcPr>
            <w:tcW w:w="1444" w:type="dxa"/>
            <w:vMerge w:val="restart"/>
            <w:vAlign w:val="center"/>
          </w:tcPr>
          <w:p w14:paraId="5FBFCD7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1000</w:t>
            </w:r>
          </w:p>
        </w:tc>
        <w:tc>
          <w:tcPr>
            <w:tcW w:w="1677" w:type="dxa"/>
            <w:vMerge w:val="restart"/>
            <w:shd w:val="clear" w:color="auto" w:fill="auto"/>
            <w:vAlign w:val="center"/>
          </w:tcPr>
          <w:p w14:paraId="73E23DD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学生处</w:t>
            </w:r>
          </w:p>
        </w:tc>
      </w:tr>
      <w:tr w14:paraId="385D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15" w:type="dxa"/>
            <w:vMerge w:val="continue"/>
            <w:tcBorders>
              <w:left w:val="single" w:color="auto" w:sz="4" w:space="0"/>
            </w:tcBorders>
            <w:vAlign w:val="center"/>
          </w:tcPr>
          <w:p w14:paraId="4D2910B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continue"/>
            <w:vAlign w:val="center"/>
          </w:tcPr>
          <w:p w14:paraId="2C4EC27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72" w:type="dxa"/>
            <w:shd w:val="clear" w:color="auto" w:fill="auto"/>
            <w:noWrap/>
            <w:vAlign w:val="center"/>
          </w:tcPr>
          <w:p w14:paraId="7079B02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1.2.</w:t>
            </w:r>
            <w:r>
              <w:rPr>
                <w:rFonts w:hint="eastAsia" w:ascii="仿宋_GB2312" w:hAnsi="等线" w:eastAsia="仿宋_GB2312" w:cs="宋体"/>
                <w:color w:val="000000"/>
                <w:kern w:val="0"/>
                <w:sz w:val="24"/>
                <w:highlight w:val="none"/>
                <w:lang w:val="en-US" w:eastAsia="zh-CN"/>
              </w:rPr>
              <w:t>2</w:t>
            </w:r>
            <w:r>
              <w:rPr>
                <w:rFonts w:hint="eastAsia" w:ascii="仿宋_GB2312" w:hAnsi="等线" w:eastAsia="仿宋_GB2312" w:cs="宋体"/>
                <w:color w:val="000000"/>
                <w:kern w:val="0"/>
                <w:sz w:val="24"/>
                <w:highlight w:val="none"/>
              </w:rPr>
              <w:t>劳动教育</w:t>
            </w:r>
          </w:p>
        </w:tc>
        <w:tc>
          <w:tcPr>
            <w:tcW w:w="6069" w:type="dxa"/>
            <w:shd w:val="clear" w:color="auto" w:fill="auto"/>
            <w:vAlign w:val="center"/>
          </w:tcPr>
          <w:p w14:paraId="4403A3F9">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szCs w:val="24"/>
                <w:highlight w:val="none"/>
                <w:lang w:val="en-US" w:eastAsia="zh-CN" w:bidi="ar-SA"/>
              </w:rPr>
              <w:t>概述</w:t>
            </w:r>
            <w:r>
              <w:rPr>
                <w:rFonts w:hint="eastAsia" w:ascii="仿宋_GB2312" w:hAnsi="等线" w:eastAsia="仿宋_GB2312" w:cs="宋体"/>
                <w:color w:val="000000"/>
                <w:kern w:val="0"/>
                <w:sz w:val="24"/>
                <w:highlight w:val="none"/>
              </w:rPr>
              <w:t>劳动育人体系的构建，实践育人</w:t>
            </w:r>
            <w:r>
              <w:rPr>
                <w:rFonts w:hint="eastAsia" w:ascii="仿宋_GB2312" w:hAnsi="等线" w:eastAsia="仿宋_GB2312" w:cs="宋体"/>
                <w:color w:val="000000"/>
                <w:kern w:val="0"/>
                <w:sz w:val="24"/>
                <w:highlight w:val="none"/>
                <w:lang w:val="en-US" w:eastAsia="zh-CN"/>
              </w:rPr>
              <w:t>特色做法</w:t>
            </w:r>
            <w:r>
              <w:rPr>
                <w:rFonts w:hint="eastAsia" w:ascii="仿宋_GB2312" w:hAnsi="等线" w:eastAsia="仿宋_GB2312" w:cs="宋体"/>
                <w:color w:val="000000"/>
                <w:kern w:val="0"/>
                <w:sz w:val="24"/>
                <w:highlight w:val="none"/>
              </w:rPr>
              <w:t>与</w:t>
            </w:r>
            <w:r>
              <w:rPr>
                <w:rFonts w:hint="eastAsia" w:ascii="仿宋_GB2312" w:hAnsi="等线" w:eastAsia="仿宋_GB2312" w:cs="宋体"/>
                <w:color w:val="000000"/>
                <w:kern w:val="0"/>
                <w:sz w:val="24"/>
                <w:highlight w:val="none"/>
                <w:lang w:val="en-US" w:eastAsia="zh-CN"/>
              </w:rPr>
              <w:t>成效</w:t>
            </w:r>
            <w:r>
              <w:rPr>
                <w:rFonts w:hint="eastAsia" w:ascii="仿宋_GB2312" w:hAnsi="等线" w:eastAsia="仿宋_GB2312" w:cs="宋体"/>
                <w:color w:val="000000"/>
                <w:kern w:val="0"/>
                <w:sz w:val="24"/>
                <w:highlight w:val="none"/>
              </w:rPr>
              <w:t>。</w:t>
            </w:r>
          </w:p>
        </w:tc>
        <w:tc>
          <w:tcPr>
            <w:tcW w:w="1444" w:type="dxa"/>
            <w:vMerge w:val="continue"/>
            <w:vAlign w:val="center"/>
          </w:tcPr>
          <w:p w14:paraId="06F5018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Merge w:val="continue"/>
            <w:shd w:val="clear" w:color="auto" w:fill="auto"/>
            <w:vAlign w:val="center"/>
          </w:tcPr>
          <w:p w14:paraId="410B5A3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25ED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15" w:type="dxa"/>
            <w:vMerge w:val="continue"/>
            <w:tcBorders>
              <w:left w:val="single" w:color="auto" w:sz="4" w:space="0"/>
            </w:tcBorders>
            <w:vAlign w:val="center"/>
          </w:tcPr>
          <w:p w14:paraId="0A75E87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continue"/>
            <w:vAlign w:val="center"/>
          </w:tcPr>
          <w:p w14:paraId="6B80D71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72" w:type="dxa"/>
            <w:shd w:val="clear" w:color="auto" w:fill="auto"/>
            <w:noWrap/>
            <w:vAlign w:val="center"/>
          </w:tcPr>
          <w:p w14:paraId="290AB69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1.2.</w:t>
            </w:r>
            <w:r>
              <w:rPr>
                <w:rFonts w:hint="eastAsia" w:ascii="仿宋_GB2312" w:hAnsi="等线" w:eastAsia="仿宋_GB2312" w:cs="宋体"/>
                <w:color w:val="000000"/>
                <w:kern w:val="0"/>
                <w:sz w:val="24"/>
                <w:highlight w:val="none"/>
                <w:lang w:val="en-US" w:eastAsia="zh-CN"/>
              </w:rPr>
              <w:t>3</w:t>
            </w:r>
            <w:r>
              <w:rPr>
                <w:rFonts w:hint="eastAsia" w:ascii="仿宋_GB2312" w:hAnsi="等线" w:eastAsia="仿宋_GB2312" w:cs="宋体"/>
                <w:color w:val="000000"/>
                <w:kern w:val="0"/>
                <w:sz w:val="24"/>
                <w:highlight w:val="none"/>
              </w:rPr>
              <w:t>工匠精神培育和传承</w:t>
            </w:r>
          </w:p>
        </w:tc>
        <w:tc>
          <w:tcPr>
            <w:tcW w:w="6069" w:type="dxa"/>
            <w:shd w:val="clear" w:color="auto" w:fill="auto"/>
            <w:vAlign w:val="center"/>
          </w:tcPr>
          <w:p w14:paraId="698DFC02">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szCs w:val="24"/>
                <w:highlight w:val="none"/>
                <w:lang w:val="en-US" w:eastAsia="zh-CN" w:bidi="ar-SA"/>
              </w:rPr>
              <w:t>概述相关机制、</w:t>
            </w:r>
            <w:r>
              <w:rPr>
                <w:rFonts w:hint="eastAsia" w:ascii="仿宋_GB2312" w:hAnsi="等线" w:eastAsia="仿宋_GB2312" w:cs="宋体"/>
                <w:color w:val="000000"/>
                <w:kern w:val="0"/>
                <w:sz w:val="24"/>
                <w:highlight w:val="none"/>
              </w:rPr>
              <w:t>实施举措，特色做法与成果。</w:t>
            </w:r>
          </w:p>
        </w:tc>
        <w:tc>
          <w:tcPr>
            <w:tcW w:w="1444" w:type="dxa"/>
            <w:vMerge w:val="continue"/>
            <w:vAlign w:val="center"/>
          </w:tcPr>
          <w:p w14:paraId="5904524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Merge w:val="continue"/>
            <w:shd w:val="clear" w:color="auto" w:fill="auto"/>
            <w:vAlign w:val="center"/>
          </w:tcPr>
          <w:p w14:paraId="3DBD231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65B6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15" w:type="dxa"/>
            <w:vMerge w:val="continue"/>
            <w:tcBorders>
              <w:left w:val="single" w:color="auto" w:sz="4" w:space="0"/>
            </w:tcBorders>
            <w:vAlign w:val="center"/>
          </w:tcPr>
          <w:p w14:paraId="1A22955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continue"/>
            <w:vAlign w:val="center"/>
          </w:tcPr>
          <w:p w14:paraId="651F636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72" w:type="dxa"/>
            <w:shd w:val="clear" w:color="auto" w:fill="auto"/>
            <w:noWrap/>
            <w:vAlign w:val="center"/>
          </w:tcPr>
          <w:p w14:paraId="12FA31F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1.2.</w:t>
            </w:r>
            <w:r>
              <w:rPr>
                <w:rFonts w:hint="eastAsia" w:ascii="仿宋_GB2312" w:hAnsi="等线" w:eastAsia="仿宋_GB2312" w:cs="宋体"/>
                <w:color w:val="000000"/>
                <w:kern w:val="0"/>
                <w:sz w:val="24"/>
                <w:highlight w:val="none"/>
                <w:lang w:val="en-US" w:eastAsia="zh-CN"/>
              </w:rPr>
              <w:t>4</w:t>
            </w:r>
            <w:r>
              <w:rPr>
                <w:rFonts w:hint="eastAsia" w:ascii="仿宋_GB2312" w:hAnsi="等线" w:eastAsia="仿宋_GB2312" w:cs="宋体"/>
                <w:color w:val="000000"/>
                <w:kern w:val="0"/>
                <w:sz w:val="24"/>
                <w:highlight w:val="none"/>
              </w:rPr>
              <w:t>身心素质</w:t>
            </w:r>
          </w:p>
        </w:tc>
        <w:tc>
          <w:tcPr>
            <w:tcW w:w="6069" w:type="dxa"/>
            <w:shd w:val="clear" w:color="auto" w:fill="auto"/>
            <w:vAlign w:val="center"/>
          </w:tcPr>
          <w:p w14:paraId="5103A865">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szCs w:val="24"/>
                <w:highlight w:val="none"/>
                <w:lang w:val="en-US" w:eastAsia="zh-CN" w:bidi="ar-SA"/>
              </w:rPr>
              <w:t>概述</w:t>
            </w:r>
            <w:r>
              <w:rPr>
                <w:rFonts w:hint="eastAsia" w:ascii="仿宋_GB2312" w:hAnsi="等线" w:eastAsia="仿宋_GB2312" w:cs="宋体"/>
                <w:color w:val="000000"/>
                <w:kern w:val="0"/>
                <w:sz w:val="24"/>
                <w:highlight w:val="none"/>
              </w:rPr>
              <w:t>心理咨询及健康教育</w:t>
            </w:r>
            <w:r>
              <w:rPr>
                <w:rFonts w:hint="eastAsia" w:ascii="仿宋_GB2312" w:hAnsi="等线" w:eastAsia="仿宋_GB2312" w:cs="宋体"/>
                <w:color w:val="000000"/>
                <w:kern w:val="0"/>
                <w:sz w:val="24"/>
                <w:highlight w:val="none"/>
                <w:lang w:val="en-US" w:eastAsia="zh-CN"/>
              </w:rPr>
              <w:t>机制、实施情况、特色做法</w:t>
            </w:r>
            <w:r>
              <w:rPr>
                <w:rFonts w:hint="eastAsia" w:ascii="仿宋_GB2312" w:hAnsi="等线" w:eastAsia="仿宋_GB2312" w:cs="宋体"/>
                <w:color w:val="000000"/>
                <w:kern w:val="0"/>
                <w:sz w:val="24"/>
                <w:highlight w:val="none"/>
              </w:rPr>
              <w:t>与</w:t>
            </w:r>
            <w:r>
              <w:rPr>
                <w:rFonts w:hint="eastAsia" w:ascii="仿宋_GB2312" w:hAnsi="等线" w:eastAsia="仿宋_GB2312" w:cs="宋体"/>
                <w:color w:val="000000"/>
                <w:kern w:val="0"/>
                <w:sz w:val="24"/>
                <w:highlight w:val="none"/>
                <w:lang w:val="en-US" w:eastAsia="zh-CN"/>
              </w:rPr>
              <w:t>成效</w:t>
            </w:r>
            <w:r>
              <w:rPr>
                <w:rFonts w:hint="eastAsia" w:ascii="仿宋_GB2312" w:hAnsi="等线" w:eastAsia="仿宋_GB2312" w:cs="宋体"/>
                <w:color w:val="000000"/>
                <w:kern w:val="0"/>
                <w:sz w:val="24"/>
                <w:highlight w:val="none"/>
              </w:rPr>
              <w:t>。</w:t>
            </w:r>
          </w:p>
        </w:tc>
        <w:tc>
          <w:tcPr>
            <w:tcW w:w="1444" w:type="dxa"/>
            <w:vMerge w:val="continue"/>
            <w:vAlign w:val="center"/>
          </w:tcPr>
          <w:p w14:paraId="5FFED1B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Merge w:val="continue"/>
            <w:shd w:val="clear" w:color="auto" w:fill="auto"/>
            <w:vAlign w:val="center"/>
          </w:tcPr>
          <w:p w14:paraId="7A49092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498A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Merge w:val="continue"/>
            <w:tcBorders>
              <w:left w:val="single" w:color="auto" w:sz="4" w:space="0"/>
            </w:tcBorders>
            <w:vAlign w:val="center"/>
          </w:tcPr>
          <w:p w14:paraId="09D7096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restart"/>
            <w:shd w:val="clear" w:color="auto" w:fill="auto"/>
            <w:noWrap/>
            <w:vAlign w:val="center"/>
          </w:tcPr>
          <w:p w14:paraId="42D758C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szCs w:val="24"/>
                <w:highlight w:val="none"/>
                <w:lang w:val="en-US" w:eastAsia="zh-CN" w:bidi="ar-SA"/>
              </w:rPr>
            </w:pPr>
            <w:r>
              <w:rPr>
                <w:rFonts w:hint="eastAsia" w:ascii="仿宋_GB2312" w:hAnsi="等线" w:eastAsia="仿宋_GB2312" w:cs="宋体"/>
                <w:color w:val="000000"/>
                <w:kern w:val="0"/>
                <w:sz w:val="24"/>
                <w:highlight w:val="none"/>
                <w:lang w:val="en-US" w:eastAsia="zh-CN"/>
              </w:rPr>
              <w:t>1.3在校体验</w:t>
            </w:r>
          </w:p>
        </w:tc>
        <w:tc>
          <w:tcPr>
            <w:tcW w:w="2572" w:type="dxa"/>
            <w:shd w:val="clear" w:color="auto" w:fill="auto"/>
            <w:noWrap/>
            <w:vAlign w:val="center"/>
          </w:tcPr>
          <w:p w14:paraId="09754D6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szCs w:val="24"/>
                <w:highlight w:val="none"/>
                <w:lang w:val="en-US" w:eastAsia="zh-CN" w:bidi="ar-SA"/>
              </w:rPr>
            </w:pPr>
            <w:r>
              <w:rPr>
                <w:rFonts w:hint="eastAsia" w:ascii="仿宋_GB2312" w:hAnsi="等线" w:eastAsia="仿宋_GB2312" w:cs="宋体"/>
                <w:color w:val="000000"/>
                <w:kern w:val="0"/>
                <w:sz w:val="24"/>
                <w:szCs w:val="24"/>
                <w:highlight w:val="none"/>
                <w:lang w:val="en-US" w:eastAsia="zh-CN" w:bidi="ar-SA"/>
              </w:rPr>
              <w:t>1.4.1满意度</w:t>
            </w:r>
          </w:p>
        </w:tc>
        <w:tc>
          <w:tcPr>
            <w:tcW w:w="6069" w:type="dxa"/>
            <w:shd w:val="clear" w:color="auto" w:fill="auto"/>
            <w:vAlign w:val="center"/>
          </w:tcPr>
          <w:p w14:paraId="28F3FDEF">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szCs w:val="24"/>
                <w:highlight w:val="none"/>
                <w:lang w:val="en-US" w:eastAsia="zh-CN" w:bidi="ar-SA"/>
              </w:rPr>
            </w:pPr>
            <w:r>
              <w:rPr>
                <w:rFonts w:hint="eastAsia" w:ascii="仿宋_GB2312" w:hAnsi="等线" w:eastAsia="仿宋_GB2312" w:cs="宋体"/>
                <w:color w:val="000000"/>
                <w:kern w:val="0"/>
                <w:sz w:val="24"/>
                <w:szCs w:val="24"/>
                <w:highlight w:val="none"/>
                <w:lang w:val="en-US" w:eastAsia="zh-CN" w:bidi="ar-SA"/>
              </w:rPr>
              <w:t>1.概述：课内外育人体系建设，在校生对学校满意度、第三方评价情况等。</w:t>
            </w:r>
          </w:p>
          <w:p w14:paraId="4E4988DD">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szCs w:val="24"/>
                <w:highlight w:val="none"/>
                <w:lang w:val="en-US" w:eastAsia="zh-CN" w:bidi="ar-SA"/>
              </w:rPr>
            </w:pPr>
            <w:r>
              <w:rPr>
                <w:rFonts w:hint="eastAsia" w:ascii="仿宋_GB2312" w:hAnsi="等线" w:eastAsia="仿宋_GB2312" w:cs="宋体"/>
                <w:color w:val="000000"/>
                <w:kern w:val="0"/>
                <w:sz w:val="24"/>
                <w:szCs w:val="24"/>
                <w:highlight w:val="none"/>
                <w:lang w:val="en-US" w:eastAsia="zh-CN" w:bidi="ar-SA"/>
              </w:rPr>
              <w:t>2.毕业生在校体验，对母校满意度调查。</w:t>
            </w:r>
          </w:p>
          <w:p w14:paraId="2D14D130">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szCs w:val="24"/>
                <w:highlight w:val="none"/>
                <w:lang w:val="en-US" w:eastAsia="zh-CN" w:bidi="ar-SA"/>
              </w:rPr>
            </w:pPr>
            <w:r>
              <w:rPr>
                <w:rFonts w:hint="eastAsia" w:ascii="仿宋_GB2312" w:hAnsi="等线" w:eastAsia="仿宋_GB2312" w:cs="宋体"/>
                <w:color w:val="000000"/>
                <w:kern w:val="0"/>
                <w:sz w:val="24"/>
                <w:szCs w:val="24"/>
                <w:highlight w:val="none"/>
                <w:lang w:val="en-US" w:eastAsia="zh-CN" w:bidi="ar-SA"/>
              </w:rPr>
              <w:t>3.提交母校满意度调查表等表格。</w:t>
            </w:r>
          </w:p>
        </w:tc>
        <w:tc>
          <w:tcPr>
            <w:tcW w:w="1444" w:type="dxa"/>
            <w:vMerge w:val="restart"/>
            <w:shd w:val="clear" w:color="auto" w:fill="auto"/>
            <w:noWrap/>
            <w:vAlign w:val="center"/>
          </w:tcPr>
          <w:p w14:paraId="60C6F40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1000</w:t>
            </w:r>
          </w:p>
        </w:tc>
        <w:tc>
          <w:tcPr>
            <w:tcW w:w="1677" w:type="dxa"/>
            <w:vMerge w:val="restart"/>
            <w:shd w:val="clear" w:color="auto" w:fill="auto"/>
            <w:noWrap/>
            <w:vAlign w:val="center"/>
          </w:tcPr>
          <w:p w14:paraId="6AF67F7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学生处</w:t>
            </w:r>
          </w:p>
        </w:tc>
      </w:tr>
      <w:tr w14:paraId="251B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Merge w:val="continue"/>
            <w:tcBorders>
              <w:left w:val="single" w:color="auto" w:sz="4" w:space="0"/>
            </w:tcBorders>
            <w:vAlign w:val="center"/>
          </w:tcPr>
          <w:p w14:paraId="2883528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continue"/>
            <w:vAlign w:val="center"/>
          </w:tcPr>
          <w:p w14:paraId="6A59660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72" w:type="dxa"/>
            <w:shd w:val="clear" w:color="auto" w:fill="auto"/>
            <w:noWrap/>
            <w:vAlign w:val="center"/>
          </w:tcPr>
          <w:p w14:paraId="1E491F6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1.4.2学生社团活动</w:t>
            </w:r>
          </w:p>
        </w:tc>
        <w:tc>
          <w:tcPr>
            <w:tcW w:w="6069" w:type="dxa"/>
            <w:shd w:val="clear" w:color="auto" w:fill="auto"/>
            <w:vAlign w:val="center"/>
          </w:tcPr>
          <w:p w14:paraId="533AA73C">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rPr>
              <w:t>1.概述：学生社团活动开展情况、学生社团活动参与度与质量</w:t>
            </w:r>
            <w:r>
              <w:rPr>
                <w:rFonts w:hint="eastAsia" w:ascii="仿宋_GB2312" w:hAnsi="等线" w:eastAsia="仿宋_GB2312" w:cs="宋体"/>
                <w:color w:val="000000"/>
                <w:kern w:val="0"/>
                <w:sz w:val="24"/>
                <w:highlight w:val="none"/>
                <w:lang w:eastAsia="zh-CN"/>
              </w:rPr>
              <w:t>。</w:t>
            </w:r>
          </w:p>
          <w:p w14:paraId="587C804F">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2.202</w:t>
            </w:r>
            <w:r>
              <w:rPr>
                <w:rFonts w:hint="eastAsia" w:ascii="仿宋_GB2312" w:hAnsi="等线" w:eastAsia="仿宋_GB2312" w:cs="宋体"/>
                <w:color w:val="000000"/>
                <w:kern w:val="0"/>
                <w:sz w:val="24"/>
                <w:highlight w:val="none"/>
                <w:lang w:val="en-US" w:eastAsia="zh-CN"/>
              </w:rPr>
              <w:t>3</w:t>
            </w:r>
            <w:r>
              <w:rPr>
                <w:rFonts w:hint="eastAsia" w:ascii="仿宋_GB2312" w:hAnsi="等线" w:eastAsia="仿宋_GB2312" w:cs="宋体"/>
                <w:color w:val="000000"/>
                <w:kern w:val="0"/>
                <w:sz w:val="24"/>
                <w:highlight w:val="none"/>
              </w:rPr>
              <w:t>-202</w:t>
            </w:r>
            <w:r>
              <w:rPr>
                <w:rFonts w:hint="eastAsia" w:ascii="仿宋_GB2312" w:hAnsi="等线" w:eastAsia="仿宋_GB2312" w:cs="宋体"/>
                <w:color w:val="000000"/>
                <w:kern w:val="0"/>
                <w:sz w:val="24"/>
                <w:highlight w:val="none"/>
                <w:lang w:val="en-US" w:eastAsia="zh-CN"/>
              </w:rPr>
              <w:t>4</w:t>
            </w:r>
            <w:r>
              <w:rPr>
                <w:rFonts w:hint="eastAsia" w:ascii="仿宋_GB2312" w:hAnsi="等线" w:eastAsia="仿宋_GB2312" w:cs="宋体"/>
                <w:color w:val="000000"/>
                <w:kern w:val="0"/>
                <w:sz w:val="24"/>
                <w:highlight w:val="none"/>
              </w:rPr>
              <w:t>学年大学生社团一览表</w:t>
            </w:r>
          </w:p>
        </w:tc>
        <w:tc>
          <w:tcPr>
            <w:tcW w:w="1444" w:type="dxa"/>
            <w:vMerge w:val="continue"/>
            <w:vAlign w:val="center"/>
          </w:tcPr>
          <w:p w14:paraId="60076AB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Merge w:val="continue"/>
            <w:vAlign w:val="center"/>
          </w:tcPr>
          <w:p w14:paraId="354E3ED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76DD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Merge w:val="continue"/>
            <w:tcBorders>
              <w:left w:val="single" w:color="auto" w:sz="4" w:space="0"/>
            </w:tcBorders>
            <w:vAlign w:val="center"/>
          </w:tcPr>
          <w:p w14:paraId="685DB56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continue"/>
            <w:vAlign w:val="center"/>
          </w:tcPr>
          <w:p w14:paraId="6929AC9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72" w:type="dxa"/>
            <w:shd w:val="clear" w:color="auto" w:fill="auto"/>
            <w:noWrap/>
            <w:vAlign w:val="center"/>
          </w:tcPr>
          <w:p w14:paraId="02A976B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1.4.3素养提升</w:t>
            </w:r>
          </w:p>
        </w:tc>
        <w:tc>
          <w:tcPr>
            <w:tcW w:w="6069" w:type="dxa"/>
            <w:shd w:val="clear" w:color="auto" w:fill="auto"/>
            <w:vAlign w:val="center"/>
          </w:tcPr>
          <w:p w14:paraId="095EF7E6">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1.概述：学生在校期间的职业素养提升</w:t>
            </w:r>
            <w:r>
              <w:rPr>
                <w:rFonts w:hint="eastAsia" w:ascii="仿宋_GB2312" w:hAnsi="等线" w:eastAsia="仿宋_GB2312" w:cs="宋体"/>
                <w:color w:val="000000"/>
                <w:kern w:val="0"/>
                <w:sz w:val="24"/>
                <w:highlight w:val="none"/>
                <w:lang w:val="en-US" w:eastAsia="zh-CN"/>
              </w:rPr>
              <w:t>情况和成效（</w:t>
            </w:r>
            <w:r>
              <w:rPr>
                <w:rFonts w:hint="eastAsia" w:ascii="仿宋_GB2312" w:hAnsi="等线" w:eastAsia="仿宋_GB2312" w:cs="宋体"/>
                <w:color w:val="000000"/>
                <w:kern w:val="0"/>
                <w:sz w:val="24"/>
                <w:highlight w:val="none"/>
              </w:rPr>
              <w:t>可以从追求上进，遵纪守法，乐于助人，包容精神，诚实守信，关注社会，环境意识等方面对比分析）。</w:t>
            </w:r>
          </w:p>
          <w:p w14:paraId="381CC289">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2.添加</w:t>
            </w:r>
            <w:r>
              <w:rPr>
                <w:rFonts w:hint="eastAsia" w:ascii="仿宋_GB2312" w:hAnsi="等线" w:eastAsia="仿宋_GB2312" w:cs="宋体"/>
                <w:color w:val="000000"/>
                <w:kern w:val="0"/>
                <w:sz w:val="24"/>
                <w:highlight w:val="none"/>
                <w:lang w:val="en-US" w:eastAsia="zh-CN"/>
              </w:rPr>
              <w:t>20</w:t>
            </w:r>
            <w:r>
              <w:rPr>
                <w:rFonts w:hint="eastAsia" w:ascii="仿宋_GB2312" w:hAnsi="等线" w:eastAsia="仿宋_GB2312" w:cs="宋体"/>
                <w:color w:val="000000"/>
                <w:kern w:val="0"/>
                <w:sz w:val="24"/>
                <w:highlight w:val="none"/>
              </w:rPr>
              <w:t>2</w:t>
            </w:r>
            <w:r>
              <w:rPr>
                <w:rFonts w:hint="eastAsia" w:ascii="仿宋_GB2312" w:hAnsi="等线" w:eastAsia="仿宋_GB2312" w:cs="宋体"/>
                <w:color w:val="000000"/>
                <w:kern w:val="0"/>
                <w:sz w:val="24"/>
                <w:highlight w:val="none"/>
                <w:lang w:val="en-US" w:eastAsia="zh-CN"/>
              </w:rPr>
              <w:t>1</w:t>
            </w:r>
            <w:r>
              <w:rPr>
                <w:rFonts w:hint="eastAsia" w:ascii="仿宋_GB2312" w:hAnsi="等线" w:eastAsia="仿宋_GB2312" w:cs="宋体"/>
                <w:color w:val="000000"/>
                <w:kern w:val="0"/>
                <w:sz w:val="24"/>
                <w:highlight w:val="none"/>
              </w:rPr>
              <w:t>、</w:t>
            </w:r>
            <w:r>
              <w:rPr>
                <w:rFonts w:hint="eastAsia" w:ascii="仿宋_GB2312" w:hAnsi="等线" w:eastAsia="仿宋_GB2312" w:cs="宋体"/>
                <w:color w:val="000000"/>
                <w:kern w:val="0"/>
                <w:sz w:val="24"/>
                <w:highlight w:val="none"/>
                <w:lang w:val="en-US" w:eastAsia="zh-CN"/>
              </w:rPr>
              <w:t>20</w:t>
            </w:r>
            <w:r>
              <w:rPr>
                <w:rFonts w:hint="eastAsia" w:ascii="仿宋_GB2312" w:hAnsi="等线" w:eastAsia="仿宋_GB2312" w:cs="宋体"/>
                <w:color w:val="000000"/>
                <w:kern w:val="0"/>
                <w:sz w:val="24"/>
                <w:highlight w:val="none"/>
              </w:rPr>
              <w:t>2</w:t>
            </w:r>
            <w:r>
              <w:rPr>
                <w:rFonts w:hint="eastAsia" w:ascii="仿宋_GB2312" w:hAnsi="等线" w:eastAsia="仿宋_GB2312" w:cs="宋体"/>
                <w:color w:val="000000"/>
                <w:kern w:val="0"/>
                <w:sz w:val="24"/>
                <w:highlight w:val="none"/>
                <w:lang w:val="en-US" w:eastAsia="zh-CN"/>
              </w:rPr>
              <w:t>2</w:t>
            </w:r>
            <w:r>
              <w:rPr>
                <w:rFonts w:hint="eastAsia" w:ascii="仿宋_GB2312" w:hAnsi="等线" w:eastAsia="仿宋_GB2312" w:cs="宋体"/>
                <w:color w:val="000000"/>
                <w:kern w:val="0"/>
                <w:sz w:val="24"/>
                <w:highlight w:val="none"/>
              </w:rPr>
              <w:t>、</w:t>
            </w:r>
            <w:r>
              <w:rPr>
                <w:rFonts w:hint="eastAsia" w:ascii="仿宋_GB2312" w:hAnsi="等线" w:eastAsia="仿宋_GB2312" w:cs="宋体"/>
                <w:color w:val="000000"/>
                <w:kern w:val="0"/>
                <w:sz w:val="24"/>
                <w:highlight w:val="none"/>
                <w:lang w:val="en-US" w:eastAsia="zh-CN"/>
              </w:rPr>
              <w:t>20</w:t>
            </w:r>
            <w:r>
              <w:rPr>
                <w:rFonts w:hint="eastAsia" w:ascii="仿宋_GB2312" w:hAnsi="等线" w:eastAsia="仿宋_GB2312" w:cs="宋体"/>
                <w:color w:val="000000"/>
                <w:kern w:val="0"/>
                <w:sz w:val="24"/>
                <w:highlight w:val="none"/>
              </w:rPr>
              <w:t>2</w:t>
            </w:r>
            <w:r>
              <w:rPr>
                <w:rFonts w:hint="eastAsia" w:ascii="仿宋_GB2312" w:hAnsi="等线" w:eastAsia="仿宋_GB2312" w:cs="宋体"/>
                <w:color w:val="000000"/>
                <w:kern w:val="0"/>
                <w:sz w:val="24"/>
                <w:highlight w:val="none"/>
                <w:lang w:val="en-US" w:eastAsia="zh-CN"/>
              </w:rPr>
              <w:t>3</w:t>
            </w:r>
            <w:r>
              <w:rPr>
                <w:rFonts w:hint="eastAsia" w:ascii="仿宋_GB2312" w:hAnsi="等线" w:eastAsia="仿宋_GB2312" w:cs="宋体"/>
                <w:color w:val="000000"/>
                <w:kern w:val="0"/>
                <w:sz w:val="24"/>
                <w:highlight w:val="none"/>
              </w:rPr>
              <w:t>年对比柱状图，说明素质提升。</w:t>
            </w:r>
          </w:p>
        </w:tc>
        <w:tc>
          <w:tcPr>
            <w:tcW w:w="1444" w:type="dxa"/>
            <w:vMerge w:val="continue"/>
            <w:vAlign w:val="center"/>
          </w:tcPr>
          <w:p w14:paraId="2ACAEBD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Merge w:val="continue"/>
            <w:vAlign w:val="center"/>
          </w:tcPr>
          <w:p w14:paraId="0771D11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343D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515" w:type="dxa"/>
            <w:vMerge w:val="continue"/>
            <w:tcBorders>
              <w:top w:val="single" w:color="auto" w:sz="4" w:space="0"/>
              <w:left w:val="single" w:color="auto" w:sz="4" w:space="0"/>
              <w:bottom w:val="single" w:color="auto" w:sz="4" w:space="0"/>
              <w:right w:val="single" w:color="auto" w:sz="4" w:space="0"/>
            </w:tcBorders>
            <w:vAlign w:val="center"/>
          </w:tcPr>
          <w:p w14:paraId="1CD26E1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restart"/>
            <w:tcBorders>
              <w:top w:val="single" w:color="auto" w:sz="4" w:space="0"/>
              <w:left w:val="single" w:color="auto" w:sz="4" w:space="0"/>
              <w:right w:val="single" w:color="auto" w:sz="4" w:space="0"/>
            </w:tcBorders>
            <w:shd w:val="clear" w:color="auto" w:fill="auto"/>
            <w:noWrap/>
            <w:vAlign w:val="center"/>
          </w:tcPr>
          <w:p w14:paraId="21CC64B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1.4招生情况</w:t>
            </w:r>
          </w:p>
        </w:tc>
        <w:tc>
          <w:tcPr>
            <w:tcW w:w="2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5825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1.4.1招生考试管理制度改革</w:t>
            </w:r>
          </w:p>
        </w:tc>
        <w:tc>
          <w:tcPr>
            <w:tcW w:w="6069" w:type="dxa"/>
            <w:vMerge w:val="restart"/>
            <w:tcBorders>
              <w:top w:val="single" w:color="auto" w:sz="4" w:space="0"/>
              <w:left w:val="single" w:color="auto" w:sz="4" w:space="0"/>
              <w:right w:val="single" w:color="auto" w:sz="4" w:space="0"/>
            </w:tcBorders>
            <w:shd w:val="clear" w:color="auto" w:fill="auto"/>
            <w:vAlign w:val="center"/>
          </w:tcPr>
          <w:p w14:paraId="2C22D900">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1.概述：招生考试管理制度改革、生源结构、招生分数线、招生区域、新生入学报到率等。</w:t>
            </w:r>
          </w:p>
          <w:p w14:paraId="00FAEE53">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宋体" w:hAnsi="宋体" w:eastAsia="宋体" w:cs="宋体"/>
                <w:i w:val="0"/>
                <w:iCs w:val="0"/>
                <w:color w:val="000000"/>
                <w:kern w:val="2"/>
                <w:sz w:val="20"/>
                <w:szCs w:val="20"/>
                <w:highlight w:val="none"/>
                <w:u w:val="none"/>
                <w:lang w:val="en-US" w:eastAsia="zh-CN" w:bidi="ar-SA"/>
              </w:rPr>
            </w:pPr>
            <w:r>
              <w:rPr>
                <w:rFonts w:hint="eastAsia" w:ascii="仿宋_GB2312" w:hAnsi="等线" w:eastAsia="仿宋_GB2312" w:cs="宋体"/>
                <w:color w:val="000000"/>
                <w:kern w:val="0"/>
                <w:sz w:val="24"/>
                <w:highlight w:val="none"/>
                <w:lang w:val="en-US" w:eastAsia="zh-CN"/>
              </w:rPr>
              <w:t>2.生源分布图、2024级新生录取和报到情况一览表、2021、2022、2023年我校招生情况柱状图、2021-2023级在校生专业大类结构表、柱状图等。</w:t>
            </w:r>
          </w:p>
        </w:tc>
        <w:tc>
          <w:tcPr>
            <w:tcW w:w="1444" w:type="dxa"/>
            <w:vMerge w:val="restart"/>
            <w:tcBorders>
              <w:top w:val="single" w:color="auto" w:sz="4" w:space="0"/>
              <w:left w:val="single" w:color="auto" w:sz="4" w:space="0"/>
              <w:right w:val="single" w:color="auto" w:sz="4" w:space="0"/>
            </w:tcBorders>
            <w:shd w:val="clear" w:color="auto" w:fill="auto"/>
            <w:vAlign w:val="center"/>
          </w:tcPr>
          <w:p w14:paraId="312FC1B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800</w:t>
            </w:r>
          </w:p>
        </w:tc>
        <w:tc>
          <w:tcPr>
            <w:tcW w:w="1677" w:type="dxa"/>
            <w:vMerge w:val="restart"/>
            <w:tcBorders>
              <w:top w:val="single" w:color="auto" w:sz="4" w:space="0"/>
              <w:left w:val="single" w:color="auto" w:sz="4" w:space="0"/>
              <w:right w:val="single" w:color="auto" w:sz="4" w:space="0"/>
            </w:tcBorders>
            <w:shd w:val="clear" w:color="auto" w:fill="auto"/>
            <w:vAlign w:val="center"/>
          </w:tcPr>
          <w:p w14:paraId="075604C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学生处</w:t>
            </w:r>
          </w:p>
        </w:tc>
      </w:tr>
      <w:tr w14:paraId="419B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515" w:type="dxa"/>
            <w:vMerge w:val="continue"/>
            <w:tcBorders>
              <w:left w:val="single" w:color="auto" w:sz="4" w:space="0"/>
              <w:bottom w:val="single" w:color="auto" w:sz="4" w:space="0"/>
              <w:right w:val="single" w:color="auto" w:sz="4" w:space="0"/>
            </w:tcBorders>
            <w:vAlign w:val="center"/>
          </w:tcPr>
          <w:p w14:paraId="1A451136">
            <w:pPr>
              <w:keepNext w:val="0"/>
              <w:keepLines w:val="0"/>
              <w:pageBreakBefore w:val="0"/>
              <w:widowControl/>
              <w:kinsoku/>
              <w:wordWrap/>
              <w:overflowPunct/>
              <w:topLinePunct w:val="0"/>
              <w:autoSpaceDE/>
              <w:autoSpaceDN/>
              <w:bidi w:val="0"/>
              <w:adjustRightInd/>
              <w:snapToGrid/>
              <w:spacing w:line="350" w:lineRule="exact"/>
              <w:jc w:val="center"/>
              <w:textAlignment w:val="auto"/>
              <w:rPr>
                <w:highlight w:val="none"/>
              </w:rPr>
            </w:pPr>
          </w:p>
        </w:tc>
        <w:tc>
          <w:tcPr>
            <w:tcW w:w="2564" w:type="dxa"/>
            <w:vMerge w:val="continue"/>
            <w:tcBorders>
              <w:left w:val="single" w:color="auto" w:sz="4" w:space="0"/>
              <w:bottom w:val="single" w:color="auto" w:sz="4" w:space="0"/>
              <w:right w:val="single" w:color="auto" w:sz="4" w:space="0"/>
            </w:tcBorders>
            <w:shd w:val="clear" w:color="auto" w:fill="auto"/>
            <w:noWrap/>
            <w:vAlign w:val="center"/>
          </w:tcPr>
          <w:p w14:paraId="22FE119F">
            <w:pPr>
              <w:keepNext w:val="0"/>
              <w:keepLines w:val="0"/>
              <w:pageBreakBefore w:val="0"/>
              <w:widowControl/>
              <w:kinsoku/>
              <w:wordWrap/>
              <w:overflowPunct/>
              <w:topLinePunct w:val="0"/>
              <w:autoSpaceDE/>
              <w:autoSpaceDN/>
              <w:bidi w:val="0"/>
              <w:adjustRightInd/>
              <w:snapToGrid/>
              <w:spacing w:line="350" w:lineRule="exact"/>
              <w:jc w:val="center"/>
              <w:textAlignment w:val="auto"/>
              <w:rPr>
                <w:highlight w:val="none"/>
              </w:rPr>
            </w:pPr>
          </w:p>
        </w:tc>
        <w:tc>
          <w:tcPr>
            <w:tcW w:w="2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188C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1.4.2生源结构</w:t>
            </w:r>
          </w:p>
        </w:tc>
        <w:tc>
          <w:tcPr>
            <w:tcW w:w="6069" w:type="dxa"/>
            <w:vMerge w:val="continue"/>
            <w:tcBorders>
              <w:left w:val="single" w:color="auto" w:sz="4" w:space="0"/>
              <w:bottom w:val="single" w:color="auto" w:sz="4" w:space="0"/>
              <w:right w:val="single" w:color="auto" w:sz="4" w:space="0"/>
            </w:tcBorders>
            <w:shd w:val="clear" w:color="auto" w:fill="auto"/>
            <w:vAlign w:val="center"/>
          </w:tcPr>
          <w:p w14:paraId="6B756890">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p>
        </w:tc>
        <w:tc>
          <w:tcPr>
            <w:tcW w:w="1444" w:type="dxa"/>
            <w:vMerge w:val="continue"/>
            <w:tcBorders>
              <w:left w:val="single" w:color="auto" w:sz="4" w:space="0"/>
              <w:bottom w:val="single" w:color="auto" w:sz="4" w:space="0"/>
              <w:right w:val="single" w:color="auto" w:sz="4" w:space="0"/>
            </w:tcBorders>
            <w:shd w:val="clear" w:color="auto" w:fill="auto"/>
            <w:vAlign w:val="center"/>
          </w:tcPr>
          <w:p w14:paraId="1BC26B3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1677" w:type="dxa"/>
            <w:vMerge w:val="continue"/>
            <w:tcBorders>
              <w:left w:val="single" w:color="auto" w:sz="4" w:space="0"/>
              <w:bottom w:val="single" w:color="auto" w:sz="4" w:space="0"/>
              <w:right w:val="single" w:color="auto" w:sz="4" w:space="0"/>
            </w:tcBorders>
            <w:shd w:val="clear" w:color="auto" w:fill="auto"/>
            <w:vAlign w:val="center"/>
          </w:tcPr>
          <w:p w14:paraId="64E416C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r>
      <w:tr w14:paraId="5ACA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1515" w:type="dxa"/>
            <w:vMerge w:val="continue"/>
            <w:tcBorders>
              <w:top w:val="single" w:color="auto" w:sz="4" w:space="0"/>
              <w:left w:val="single" w:color="auto" w:sz="4" w:space="0"/>
            </w:tcBorders>
            <w:vAlign w:val="center"/>
          </w:tcPr>
          <w:p w14:paraId="2B0768C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tcBorders>
              <w:top w:val="single" w:color="auto" w:sz="4" w:space="0"/>
            </w:tcBorders>
            <w:shd w:val="clear" w:color="auto" w:fill="auto"/>
            <w:noWrap/>
            <w:vAlign w:val="center"/>
          </w:tcPr>
          <w:p w14:paraId="2F7B1FD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5</w:t>
            </w:r>
            <w:r>
              <w:rPr>
                <w:rFonts w:hint="eastAsia" w:ascii="仿宋_GB2312" w:hAnsi="等线" w:eastAsia="仿宋_GB2312" w:cs="宋体"/>
                <w:color w:val="000000"/>
                <w:kern w:val="0"/>
                <w:sz w:val="24"/>
                <w:highlight w:val="none"/>
              </w:rPr>
              <w:t>就业质量</w:t>
            </w:r>
          </w:p>
        </w:tc>
        <w:tc>
          <w:tcPr>
            <w:tcW w:w="2572" w:type="dxa"/>
            <w:tcBorders>
              <w:top w:val="single" w:color="auto" w:sz="4" w:space="0"/>
            </w:tcBorders>
            <w:shd w:val="clear" w:color="auto" w:fill="auto"/>
            <w:noWrap/>
            <w:vAlign w:val="center"/>
          </w:tcPr>
          <w:p w14:paraId="2F17A06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rPr>
              <w:t>——</w:t>
            </w:r>
          </w:p>
        </w:tc>
        <w:tc>
          <w:tcPr>
            <w:tcW w:w="6069" w:type="dxa"/>
            <w:tcBorders>
              <w:top w:val="single" w:color="auto" w:sz="4" w:space="0"/>
            </w:tcBorders>
            <w:shd w:val="clear" w:color="auto" w:fill="auto"/>
            <w:vAlign w:val="center"/>
          </w:tcPr>
          <w:p w14:paraId="4286273D">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1.概述：毕业生就业率、专业相关度、半年内离职率、用人单位满意度、毕业生工作满意度、对学校满意度和推荐度、毕业生薪资水平、职业发展、职位晋升、职业稳定性、创业成效等情况。</w:t>
            </w:r>
          </w:p>
          <w:p w14:paraId="29C0BB0E">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2.近三年创业情况对比柱状图，用人单位对毕业生使用满意度。</w:t>
            </w:r>
          </w:p>
          <w:p w14:paraId="1BEF5B12">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auto"/>
              <w:rPr>
                <w:rFonts w:hint="eastAsia" w:ascii="宋体" w:hAnsi="宋体" w:eastAsia="宋体" w:cs="宋体"/>
                <w:i w:val="0"/>
                <w:iCs w:val="0"/>
                <w:color w:val="000000"/>
                <w:kern w:val="2"/>
                <w:sz w:val="20"/>
                <w:szCs w:val="20"/>
                <w:highlight w:val="none"/>
                <w:u w:val="none"/>
                <w:lang w:val="en-US" w:eastAsia="zh-CN" w:bidi="ar-SA"/>
              </w:rPr>
            </w:pPr>
            <w:r>
              <w:rPr>
                <w:rFonts w:hint="eastAsia" w:ascii="仿宋_GB2312" w:hAnsi="等线" w:eastAsia="仿宋_GB2312" w:cs="宋体"/>
                <w:color w:val="000000"/>
                <w:kern w:val="0"/>
                <w:sz w:val="24"/>
                <w:highlight w:val="none"/>
                <w:lang w:val="en-US" w:eastAsia="zh-CN"/>
              </w:rPr>
              <w:t>3.近三年就业率对比表、就业去向示意图、就业满意度扇形图等。</w:t>
            </w:r>
          </w:p>
        </w:tc>
        <w:tc>
          <w:tcPr>
            <w:tcW w:w="1444" w:type="dxa"/>
            <w:tcBorders>
              <w:top w:val="single" w:color="auto" w:sz="4" w:space="0"/>
            </w:tcBorders>
            <w:shd w:val="clear" w:color="auto" w:fill="auto"/>
            <w:vAlign w:val="center"/>
          </w:tcPr>
          <w:p w14:paraId="271356A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800</w:t>
            </w:r>
          </w:p>
        </w:tc>
        <w:tc>
          <w:tcPr>
            <w:tcW w:w="1677" w:type="dxa"/>
            <w:tcBorders>
              <w:top w:val="single" w:color="auto" w:sz="4" w:space="0"/>
            </w:tcBorders>
            <w:shd w:val="clear" w:color="auto" w:fill="auto"/>
            <w:vAlign w:val="center"/>
          </w:tcPr>
          <w:p w14:paraId="037E5C5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学生处</w:t>
            </w:r>
          </w:p>
        </w:tc>
      </w:tr>
      <w:tr w14:paraId="6B66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15" w:type="dxa"/>
            <w:vMerge w:val="continue"/>
            <w:tcBorders>
              <w:left w:val="single" w:color="auto" w:sz="4" w:space="0"/>
            </w:tcBorders>
            <w:vAlign w:val="center"/>
          </w:tcPr>
          <w:p w14:paraId="20AB8E2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shd w:val="clear" w:color="auto" w:fill="auto"/>
            <w:noWrap/>
            <w:vAlign w:val="center"/>
          </w:tcPr>
          <w:p w14:paraId="68C986A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6</w:t>
            </w:r>
            <w:r>
              <w:rPr>
                <w:rFonts w:hint="eastAsia" w:ascii="仿宋_GB2312" w:hAnsi="等线" w:eastAsia="仿宋_GB2312" w:cs="宋体"/>
                <w:color w:val="000000"/>
                <w:kern w:val="0"/>
                <w:sz w:val="24"/>
                <w:highlight w:val="none"/>
              </w:rPr>
              <w:t>创新创业</w:t>
            </w:r>
          </w:p>
        </w:tc>
        <w:tc>
          <w:tcPr>
            <w:tcW w:w="2572" w:type="dxa"/>
            <w:shd w:val="clear" w:color="auto" w:fill="auto"/>
            <w:noWrap/>
            <w:vAlign w:val="center"/>
          </w:tcPr>
          <w:p w14:paraId="66F4265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6069" w:type="dxa"/>
            <w:shd w:val="clear" w:color="auto" w:fill="auto"/>
            <w:vAlign w:val="center"/>
          </w:tcPr>
          <w:p w14:paraId="5FF32FD5">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1.概述：创新创业教育的做法</w:t>
            </w:r>
            <w:r>
              <w:rPr>
                <w:rFonts w:hint="eastAsia" w:ascii="仿宋_GB2312" w:hAnsi="等线" w:eastAsia="仿宋_GB2312" w:cs="宋体"/>
                <w:color w:val="000000"/>
                <w:kern w:val="0"/>
                <w:sz w:val="24"/>
                <w:highlight w:val="none"/>
                <w:lang w:val="en-US" w:eastAsia="zh-CN"/>
              </w:rPr>
              <w:t>及</w:t>
            </w:r>
            <w:r>
              <w:rPr>
                <w:rFonts w:hint="eastAsia" w:ascii="仿宋_GB2312" w:hAnsi="等线" w:eastAsia="仿宋_GB2312" w:cs="宋体"/>
                <w:color w:val="000000"/>
                <w:kern w:val="0"/>
                <w:sz w:val="24"/>
                <w:highlight w:val="none"/>
              </w:rPr>
              <w:t>成效（政策落实及保障，大学生创业能力培养情况、结果数据、专创融合、思创融合等）、学生创业实践和竞赛活动参与度；</w:t>
            </w:r>
          </w:p>
          <w:p w14:paraId="641EEB76">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2.2</w:t>
            </w:r>
            <w:r>
              <w:rPr>
                <w:rFonts w:hint="eastAsia" w:ascii="仿宋_GB2312" w:hAnsi="等线" w:eastAsia="仿宋_GB2312" w:cs="宋体"/>
                <w:color w:val="000000"/>
                <w:kern w:val="0"/>
                <w:sz w:val="24"/>
                <w:highlight w:val="none"/>
                <w:lang w:val="en-US" w:eastAsia="zh-CN"/>
              </w:rPr>
              <w:t>2</w:t>
            </w:r>
            <w:r>
              <w:rPr>
                <w:rFonts w:hint="eastAsia" w:ascii="仿宋_GB2312" w:hAnsi="等线" w:eastAsia="仿宋_GB2312" w:cs="宋体"/>
                <w:color w:val="000000"/>
                <w:kern w:val="0"/>
                <w:sz w:val="24"/>
                <w:highlight w:val="none"/>
              </w:rPr>
              <w:t>、2</w:t>
            </w:r>
            <w:r>
              <w:rPr>
                <w:rFonts w:hint="eastAsia" w:ascii="仿宋_GB2312" w:hAnsi="等线" w:eastAsia="仿宋_GB2312" w:cs="宋体"/>
                <w:color w:val="000000"/>
                <w:kern w:val="0"/>
                <w:sz w:val="24"/>
                <w:highlight w:val="none"/>
                <w:lang w:val="en-US" w:eastAsia="zh-CN"/>
              </w:rPr>
              <w:t>3</w:t>
            </w:r>
            <w:r>
              <w:rPr>
                <w:rFonts w:hint="eastAsia" w:ascii="仿宋_GB2312" w:hAnsi="等线" w:eastAsia="仿宋_GB2312" w:cs="宋体"/>
                <w:color w:val="000000"/>
                <w:kern w:val="0"/>
                <w:sz w:val="24"/>
                <w:highlight w:val="none"/>
              </w:rPr>
              <w:t>、2</w:t>
            </w:r>
            <w:r>
              <w:rPr>
                <w:rFonts w:hint="eastAsia" w:ascii="仿宋_GB2312" w:hAnsi="等线" w:eastAsia="仿宋_GB2312" w:cs="宋体"/>
                <w:color w:val="000000"/>
                <w:kern w:val="0"/>
                <w:sz w:val="24"/>
                <w:highlight w:val="none"/>
                <w:lang w:val="en-US" w:eastAsia="zh-CN"/>
              </w:rPr>
              <w:t>4</w:t>
            </w:r>
            <w:r>
              <w:rPr>
                <w:rFonts w:hint="eastAsia" w:ascii="仿宋_GB2312" w:hAnsi="等线" w:eastAsia="仿宋_GB2312" w:cs="宋体"/>
                <w:color w:val="000000"/>
                <w:kern w:val="0"/>
                <w:sz w:val="24"/>
                <w:highlight w:val="none"/>
              </w:rPr>
              <w:t>级在校生在创业教学课程、创业辅导活动、创业实践活动、创业竞赛活动等方面提升的对比分析。</w:t>
            </w:r>
          </w:p>
        </w:tc>
        <w:tc>
          <w:tcPr>
            <w:tcW w:w="1444" w:type="dxa"/>
            <w:shd w:val="clear" w:color="auto" w:fill="auto"/>
            <w:vAlign w:val="center"/>
          </w:tcPr>
          <w:p w14:paraId="6A82DEB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800</w:t>
            </w:r>
          </w:p>
        </w:tc>
        <w:tc>
          <w:tcPr>
            <w:tcW w:w="1677" w:type="dxa"/>
            <w:shd w:val="clear" w:color="auto" w:fill="auto"/>
            <w:vAlign w:val="center"/>
          </w:tcPr>
          <w:p w14:paraId="1455E3E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学生处</w:t>
            </w:r>
          </w:p>
        </w:tc>
      </w:tr>
      <w:tr w14:paraId="40B8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515" w:type="dxa"/>
            <w:vMerge w:val="continue"/>
            <w:tcBorders>
              <w:left w:val="single" w:color="auto" w:sz="4" w:space="0"/>
            </w:tcBorders>
            <w:vAlign w:val="center"/>
          </w:tcPr>
          <w:p w14:paraId="2B7E15E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shd w:val="clear" w:color="auto" w:fill="auto"/>
            <w:noWrap/>
            <w:vAlign w:val="center"/>
          </w:tcPr>
          <w:p w14:paraId="470883A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7</w:t>
            </w:r>
            <w:r>
              <w:rPr>
                <w:rFonts w:hint="eastAsia" w:ascii="仿宋_GB2312" w:hAnsi="等线" w:eastAsia="仿宋_GB2312" w:cs="宋体"/>
                <w:color w:val="000000"/>
                <w:kern w:val="0"/>
                <w:sz w:val="24"/>
                <w:highlight w:val="none"/>
              </w:rPr>
              <w:t>技能竞赛</w:t>
            </w:r>
          </w:p>
        </w:tc>
        <w:tc>
          <w:tcPr>
            <w:tcW w:w="2572" w:type="dxa"/>
            <w:shd w:val="clear" w:color="auto" w:fill="auto"/>
            <w:noWrap/>
            <w:vAlign w:val="center"/>
          </w:tcPr>
          <w:p w14:paraId="19C8614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6069" w:type="dxa"/>
            <w:shd w:val="clear" w:color="auto" w:fill="auto"/>
            <w:vAlign w:val="center"/>
          </w:tcPr>
          <w:p w14:paraId="5E583BF4">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1.学校技能竞赛管理机制及落实</w:t>
            </w:r>
            <w:r>
              <w:rPr>
                <w:rFonts w:hint="eastAsia" w:ascii="仿宋_GB2312" w:hAnsi="等线" w:eastAsia="仿宋_GB2312" w:cs="宋体"/>
                <w:color w:val="000000"/>
                <w:kern w:val="0"/>
                <w:sz w:val="24"/>
                <w:highlight w:val="none"/>
              </w:rPr>
              <w:t>“以赛促学、以赛促教、以赛促建”理念</w:t>
            </w:r>
            <w:r>
              <w:rPr>
                <w:rFonts w:hint="eastAsia" w:ascii="仿宋_GB2312" w:hAnsi="等线" w:eastAsia="仿宋_GB2312" w:cs="宋体"/>
                <w:color w:val="000000"/>
                <w:kern w:val="0"/>
                <w:sz w:val="24"/>
                <w:highlight w:val="none"/>
                <w:lang w:val="en-US" w:eastAsia="zh-CN"/>
              </w:rPr>
              <w:t>的实施情况。（</w:t>
            </w:r>
            <w:r>
              <w:rPr>
                <w:rFonts w:hint="eastAsia" w:ascii="仿宋_GB2312" w:hAnsi="等线" w:eastAsia="仿宋_GB2312" w:cs="宋体"/>
                <w:color w:val="000000"/>
                <w:kern w:val="0"/>
                <w:sz w:val="24"/>
                <w:highlight w:val="none"/>
              </w:rPr>
              <w:t>比赛推进教学改革、教师教学能力提升等情况，举措、特色做法、成效等。</w:t>
            </w:r>
            <w:r>
              <w:rPr>
                <w:rFonts w:hint="eastAsia" w:ascii="仿宋_GB2312" w:hAnsi="等线" w:eastAsia="仿宋_GB2312" w:cs="宋体"/>
                <w:color w:val="000000"/>
                <w:kern w:val="0"/>
                <w:sz w:val="24"/>
                <w:highlight w:val="none"/>
                <w:lang w:val="en-US" w:eastAsia="zh-CN"/>
              </w:rPr>
              <w:t>）</w:t>
            </w:r>
          </w:p>
          <w:p w14:paraId="024BA19B">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2.学生、教师</w:t>
            </w:r>
            <w:r>
              <w:rPr>
                <w:rFonts w:hint="eastAsia" w:ascii="仿宋_GB2312" w:hAnsi="等线" w:eastAsia="仿宋_GB2312" w:cs="宋体"/>
                <w:color w:val="000000"/>
                <w:kern w:val="0"/>
                <w:sz w:val="24"/>
                <w:highlight w:val="none"/>
              </w:rPr>
              <w:t>技能大赛参赛情况</w:t>
            </w:r>
            <w:r>
              <w:rPr>
                <w:rFonts w:hint="eastAsia" w:ascii="仿宋_GB2312" w:hAnsi="等线" w:eastAsia="仿宋_GB2312" w:cs="宋体"/>
                <w:color w:val="000000"/>
                <w:kern w:val="0"/>
                <w:sz w:val="24"/>
                <w:highlight w:val="none"/>
                <w:lang w:eastAsia="zh-CN"/>
              </w:rPr>
              <w:t>。</w:t>
            </w:r>
          </w:p>
        </w:tc>
        <w:tc>
          <w:tcPr>
            <w:tcW w:w="1444" w:type="dxa"/>
            <w:shd w:val="clear" w:color="auto" w:fill="auto"/>
            <w:noWrap/>
            <w:vAlign w:val="center"/>
          </w:tcPr>
          <w:p w14:paraId="71B0B45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1500</w:t>
            </w:r>
          </w:p>
        </w:tc>
        <w:tc>
          <w:tcPr>
            <w:tcW w:w="1677" w:type="dxa"/>
            <w:shd w:val="clear" w:color="auto" w:fill="auto"/>
            <w:noWrap/>
            <w:vAlign w:val="center"/>
          </w:tcPr>
          <w:p w14:paraId="22C29A6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0DA9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5" w:type="dxa"/>
            <w:vMerge w:val="restart"/>
            <w:shd w:val="clear" w:color="auto" w:fill="auto"/>
            <w:noWrap/>
            <w:vAlign w:val="center"/>
          </w:tcPr>
          <w:p w14:paraId="44B6F94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2.</w:t>
            </w:r>
            <w:r>
              <w:rPr>
                <w:rFonts w:hint="eastAsia" w:ascii="仿宋_GB2312" w:hAnsi="等线" w:eastAsia="仿宋_GB2312" w:cs="宋体"/>
                <w:color w:val="000000"/>
                <w:kern w:val="0"/>
                <w:sz w:val="24"/>
                <w:highlight w:val="none"/>
              </w:rPr>
              <w:t>教育教学</w:t>
            </w:r>
          </w:p>
        </w:tc>
        <w:tc>
          <w:tcPr>
            <w:tcW w:w="2564" w:type="dxa"/>
            <w:vMerge w:val="restart"/>
            <w:shd w:val="clear" w:color="auto" w:fill="auto"/>
            <w:noWrap/>
            <w:vAlign w:val="center"/>
          </w:tcPr>
          <w:p w14:paraId="5EEA7D1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2.1专业建设</w:t>
            </w:r>
          </w:p>
        </w:tc>
        <w:tc>
          <w:tcPr>
            <w:tcW w:w="2572" w:type="dxa"/>
            <w:shd w:val="clear" w:color="auto" w:fill="auto"/>
            <w:noWrap/>
            <w:vAlign w:val="center"/>
          </w:tcPr>
          <w:p w14:paraId="136BB78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2.1.1专业结构调整</w:t>
            </w:r>
          </w:p>
        </w:tc>
        <w:tc>
          <w:tcPr>
            <w:tcW w:w="6069" w:type="dxa"/>
            <w:shd w:val="clear" w:color="auto" w:fill="auto"/>
            <w:vAlign w:val="center"/>
          </w:tcPr>
          <w:p w14:paraId="4D1AC795">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1.专业与十大新兴产业对接情况；</w:t>
            </w:r>
          </w:p>
          <w:p w14:paraId="2BE74DCB">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2.专业新增和调整情况；</w:t>
            </w:r>
          </w:p>
          <w:p w14:paraId="3A9B9A4D">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rPr>
              <w:t>3.专业升级改造情况等。</w:t>
            </w:r>
          </w:p>
        </w:tc>
        <w:tc>
          <w:tcPr>
            <w:tcW w:w="1444" w:type="dxa"/>
            <w:shd w:val="clear" w:color="auto" w:fill="auto"/>
            <w:noWrap/>
            <w:vAlign w:val="center"/>
          </w:tcPr>
          <w:p w14:paraId="79F1E6F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1500</w:t>
            </w:r>
          </w:p>
        </w:tc>
        <w:tc>
          <w:tcPr>
            <w:tcW w:w="1677" w:type="dxa"/>
            <w:shd w:val="clear" w:color="auto" w:fill="auto"/>
            <w:vAlign w:val="center"/>
          </w:tcPr>
          <w:p w14:paraId="6203F87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p w14:paraId="2E8FD7C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40FF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5" w:type="dxa"/>
            <w:vMerge w:val="continue"/>
            <w:vAlign w:val="center"/>
          </w:tcPr>
          <w:p w14:paraId="7B756E4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continue"/>
            <w:vAlign w:val="center"/>
          </w:tcPr>
          <w:p w14:paraId="7B62CA9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72" w:type="dxa"/>
            <w:shd w:val="clear" w:color="auto" w:fill="auto"/>
            <w:noWrap/>
            <w:vAlign w:val="center"/>
          </w:tcPr>
          <w:p w14:paraId="69E5A63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2.1.2高水平专业群建设</w:t>
            </w:r>
          </w:p>
        </w:tc>
        <w:tc>
          <w:tcPr>
            <w:tcW w:w="6069" w:type="dxa"/>
            <w:shd w:val="clear" w:color="auto" w:fill="auto"/>
            <w:vAlign w:val="center"/>
          </w:tcPr>
          <w:p w14:paraId="26648D5C">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1.“双高”专业群建设与成果；</w:t>
            </w:r>
          </w:p>
          <w:p w14:paraId="1E1C1F90">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rPr>
              <w:t>2.</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lang w:val="en-US" w:eastAsia="zh-CN"/>
              </w:rPr>
              <w:t>双特色</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专业群建设情况</w:t>
            </w:r>
            <w:r>
              <w:rPr>
                <w:rFonts w:hint="eastAsia" w:ascii="仿宋_GB2312" w:hAnsi="等线" w:eastAsia="仿宋_GB2312" w:cs="宋体"/>
                <w:color w:val="000000"/>
                <w:kern w:val="0"/>
                <w:sz w:val="24"/>
                <w:highlight w:val="none"/>
                <w:lang w:eastAsia="zh-CN"/>
              </w:rPr>
              <w:t>；</w:t>
            </w:r>
          </w:p>
          <w:p w14:paraId="5E5E47DF">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3.其他专业群建设情况</w:t>
            </w:r>
            <w:r>
              <w:rPr>
                <w:rFonts w:hint="eastAsia" w:ascii="仿宋_GB2312" w:hAnsi="等线" w:eastAsia="仿宋_GB2312" w:cs="宋体"/>
                <w:color w:val="000000"/>
                <w:kern w:val="0"/>
                <w:sz w:val="24"/>
                <w:highlight w:val="none"/>
              </w:rPr>
              <w:t>与成果</w:t>
            </w:r>
            <w:r>
              <w:rPr>
                <w:rFonts w:hint="eastAsia" w:ascii="仿宋_GB2312" w:hAnsi="等线" w:eastAsia="仿宋_GB2312" w:cs="宋体"/>
                <w:color w:val="000000"/>
                <w:kern w:val="0"/>
                <w:sz w:val="24"/>
                <w:highlight w:val="none"/>
                <w:lang w:val="en-US" w:eastAsia="zh-CN"/>
              </w:rPr>
              <w:t>。</w:t>
            </w:r>
          </w:p>
        </w:tc>
        <w:tc>
          <w:tcPr>
            <w:tcW w:w="1444" w:type="dxa"/>
            <w:vAlign w:val="center"/>
          </w:tcPr>
          <w:p w14:paraId="6D0B618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2000</w:t>
            </w:r>
          </w:p>
        </w:tc>
        <w:tc>
          <w:tcPr>
            <w:tcW w:w="1677" w:type="dxa"/>
            <w:vAlign w:val="center"/>
          </w:tcPr>
          <w:p w14:paraId="28F674C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国际贸易学院</w:t>
            </w:r>
          </w:p>
          <w:p w14:paraId="27878D7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信息工程学院</w:t>
            </w:r>
          </w:p>
          <w:p w14:paraId="51516B5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其他二级学院</w:t>
            </w:r>
          </w:p>
        </w:tc>
      </w:tr>
      <w:tr w14:paraId="7A7A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5" w:type="dxa"/>
            <w:vMerge w:val="continue"/>
            <w:vAlign w:val="center"/>
          </w:tcPr>
          <w:p w14:paraId="093765C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restart"/>
            <w:shd w:val="clear" w:color="auto" w:fill="auto"/>
            <w:noWrap/>
            <w:vAlign w:val="center"/>
          </w:tcPr>
          <w:p w14:paraId="4BD68D0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2.2课程建设</w:t>
            </w:r>
          </w:p>
        </w:tc>
        <w:tc>
          <w:tcPr>
            <w:tcW w:w="2572" w:type="dxa"/>
            <w:shd w:val="clear" w:color="auto" w:fill="auto"/>
            <w:noWrap/>
            <w:vAlign w:val="center"/>
          </w:tcPr>
          <w:p w14:paraId="40F097C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2.2.1</w:t>
            </w:r>
            <w:r>
              <w:rPr>
                <w:rFonts w:hint="eastAsia" w:ascii="仿宋_GB2312" w:hAnsi="等线" w:eastAsia="仿宋_GB2312" w:cs="宋体"/>
                <w:color w:val="000000"/>
                <w:kern w:val="0"/>
                <w:sz w:val="24"/>
                <w:highlight w:val="none"/>
                <w:lang w:val="en-US" w:eastAsia="zh-CN"/>
              </w:rPr>
              <w:t>思政课与</w:t>
            </w:r>
            <w:r>
              <w:rPr>
                <w:rFonts w:hint="eastAsia" w:ascii="仿宋_GB2312" w:hAnsi="等线" w:eastAsia="仿宋_GB2312" w:cs="宋体"/>
                <w:color w:val="000000"/>
                <w:kern w:val="0"/>
                <w:sz w:val="24"/>
                <w:highlight w:val="none"/>
              </w:rPr>
              <w:t>课程思政</w:t>
            </w:r>
          </w:p>
        </w:tc>
        <w:tc>
          <w:tcPr>
            <w:tcW w:w="6069" w:type="dxa"/>
            <w:shd w:val="clear" w:color="auto" w:fill="auto"/>
            <w:vAlign w:val="center"/>
          </w:tcPr>
          <w:p w14:paraId="1432DEA6">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lang w:val="en-US" w:eastAsia="zh-CN"/>
              </w:rPr>
              <w:t>思政课与</w:t>
            </w:r>
            <w:r>
              <w:rPr>
                <w:rFonts w:hint="eastAsia" w:ascii="仿宋_GB2312" w:hAnsi="等线" w:eastAsia="仿宋_GB2312" w:cs="宋体"/>
                <w:color w:val="000000"/>
                <w:kern w:val="0"/>
                <w:sz w:val="24"/>
                <w:highlight w:val="none"/>
              </w:rPr>
              <w:t>课程思政建设情况</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lang w:val="en-US" w:eastAsia="zh-CN"/>
              </w:rPr>
              <w:t>机制、实施、特色、成效</w:t>
            </w:r>
            <w:r>
              <w:rPr>
                <w:rFonts w:hint="eastAsia" w:ascii="仿宋_GB2312" w:hAnsi="等线" w:eastAsia="仿宋_GB2312" w:cs="宋体"/>
                <w:color w:val="000000"/>
                <w:kern w:val="0"/>
                <w:sz w:val="24"/>
                <w:highlight w:val="none"/>
                <w:lang w:eastAsia="zh-CN"/>
              </w:rPr>
              <w:t>）</w:t>
            </w:r>
          </w:p>
        </w:tc>
        <w:tc>
          <w:tcPr>
            <w:tcW w:w="1444" w:type="dxa"/>
            <w:shd w:val="clear" w:color="auto" w:fill="auto"/>
            <w:noWrap/>
            <w:vAlign w:val="center"/>
          </w:tcPr>
          <w:p w14:paraId="0DFFEDF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1500</w:t>
            </w:r>
          </w:p>
        </w:tc>
        <w:tc>
          <w:tcPr>
            <w:tcW w:w="1677" w:type="dxa"/>
            <w:shd w:val="clear" w:color="auto" w:fill="auto"/>
            <w:vAlign w:val="center"/>
          </w:tcPr>
          <w:p w14:paraId="122BD1A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spacing w:val="-20"/>
                <w:kern w:val="0"/>
                <w:sz w:val="24"/>
                <w:highlight w:val="none"/>
                <w:lang w:val="en-US" w:eastAsia="zh-CN"/>
              </w:rPr>
            </w:pPr>
            <w:r>
              <w:rPr>
                <w:rFonts w:hint="eastAsia" w:ascii="仿宋_GB2312" w:hAnsi="等线" w:eastAsia="仿宋_GB2312" w:cs="宋体"/>
                <w:color w:val="000000"/>
                <w:spacing w:val="-20"/>
                <w:kern w:val="0"/>
                <w:sz w:val="24"/>
                <w:highlight w:val="none"/>
                <w:lang w:val="en-US" w:eastAsia="zh-CN"/>
              </w:rPr>
              <w:t>马克思主义学院</w:t>
            </w:r>
          </w:p>
          <w:p w14:paraId="6ED28B0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1A48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5" w:type="dxa"/>
            <w:vMerge w:val="continue"/>
            <w:vAlign w:val="center"/>
          </w:tcPr>
          <w:p w14:paraId="4ED0C6E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continue"/>
            <w:vAlign w:val="center"/>
          </w:tcPr>
          <w:p w14:paraId="52BEA2D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72" w:type="dxa"/>
            <w:shd w:val="clear" w:color="auto" w:fill="auto"/>
            <w:noWrap/>
            <w:vAlign w:val="center"/>
          </w:tcPr>
          <w:p w14:paraId="1437047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rPr>
              <w:t>2.2.2</w:t>
            </w:r>
            <w:r>
              <w:rPr>
                <w:rFonts w:hint="eastAsia" w:ascii="仿宋_GB2312" w:hAnsi="等线" w:eastAsia="仿宋_GB2312" w:cs="宋体"/>
                <w:color w:val="000000"/>
                <w:kern w:val="0"/>
                <w:sz w:val="24"/>
                <w:highlight w:val="none"/>
                <w:lang w:val="en-US" w:eastAsia="zh-CN"/>
              </w:rPr>
              <w:t>课程体系建设</w:t>
            </w:r>
          </w:p>
        </w:tc>
        <w:tc>
          <w:tcPr>
            <w:tcW w:w="6069" w:type="dxa"/>
            <w:shd w:val="clear" w:color="auto" w:fill="auto"/>
            <w:vAlign w:val="center"/>
          </w:tcPr>
          <w:p w14:paraId="4240FA27">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概述：学校课程体系建设情况及成效，可从课程建设和管理机制创新、课程设置调整情况、</w:t>
            </w:r>
            <w:r>
              <w:rPr>
                <w:rFonts w:hint="eastAsia" w:ascii="仿宋_GB2312" w:hAnsi="等线" w:eastAsia="仿宋_GB2312" w:cs="宋体"/>
                <w:color w:val="000000"/>
                <w:kern w:val="0"/>
                <w:sz w:val="24"/>
                <w:highlight w:val="none"/>
              </w:rPr>
              <w:t>课程结构</w:t>
            </w:r>
            <w:r>
              <w:rPr>
                <w:rFonts w:hint="eastAsia" w:ascii="仿宋_GB2312" w:hAnsi="等线" w:eastAsia="仿宋_GB2312" w:cs="宋体"/>
                <w:color w:val="000000"/>
                <w:kern w:val="0"/>
                <w:sz w:val="24"/>
                <w:highlight w:val="none"/>
                <w:lang w:val="en-US" w:eastAsia="zh-CN"/>
              </w:rPr>
              <w:t>优化情况、课程标准修订情况等方面叙述。</w:t>
            </w:r>
          </w:p>
        </w:tc>
        <w:tc>
          <w:tcPr>
            <w:tcW w:w="1444" w:type="dxa"/>
            <w:vMerge w:val="restart"/>
            <w:vAlign w:val="center"/>
          </w:tcPr>
          <w:p w14:paraId="363486F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1500</w:t>
            </w:r>
          </w:p>
        </w:tc>
        <w:tc>
          <w:tcPr>
            <w:tcW w:w="1677" w:type="dxa"/>
            <w:vAlign w:val="center"/>
          </w:tcPr>
          <w:p w14:paraId="0A6F0E1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0A2D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1515" w:type="dxa"/>
            <w:vMerge w:val="continue"/>
            <w:vAlign w:val="center"/>
          </w:tcPr>
          <w:p w14:paraId="5658101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continue"/>
            <w:vAlign w:val="center"/>
          </w:tcPr>
          <w:p w14:paraId="7EBFDBA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72" w:type="dxa"/>
            <w:shd w:val="clear" w:color="auto" w:fill="auto"/>
            <w:noWrap/>
            <w:vAlign w:val="center"/>
          </w:tcPr>
          <w:p w14:paraId="7E3437D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2.2.3岗课赛证融通</w:t>
            </w:r>
          </w:p>
        </w:tc>
        <w:tc>
          <w:tcPr>
            <w:tcW w:w="6069" w:type="dxa"/>
            <w:shd w:val="clear" w:color="auto" w:fill="auto"/>
            <w:vAlign w:val="center"/>
          </w:tcPr>
          <w:p w14:paraId="502218D4">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1.概述：</w:t>
            </w:r>
            <w:r>
              <w:rPr>
                <w:rFonts w:hint="eastAsia" w:ascii="仿宋_GB2312" w:hAnsi="等线" w:eastAsia="仿宋_GB2312" w:cs="宋体"/>
                <w:color w:val="000000"/>
                <w:kern w:val="0"/>
                <w:sz w:val="24"/>
                <w:highlight w:val="none"/>
              </w:rPr>
              <w:t>岗课赛证融通推进情况</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校企合作开发课程、专业课程内容与职业标准对接、</w:t>
            </w:r>
            <w:r>
              <w:rPr>
                <w:rFonts w:hint="eastAsia" w:ascii="仿宋_GB2312" w:hAnsi="等线" w:eastAsia="仿宋_GB2312" w:cs="宋体"/>
                <w:color w:val="000000"/>
                <w:kern w:val="0"/>
                <w:sz w:val="24"/>
                <w:highlight w:val="none"/>
                <w:lang w:val="en-US" w:eastAsia="zh-CN"/>
              </w:rPr>
              <w:t>课程资源建设、</w:t>
            </w:r>
            <w:r>
              <w:rPr>
                <w:rFonts w:hint="eastAsia" w:ascii="仿宋_GB2312" w:hAnsi="等线" w:eastAsia="仿宋_GB2312" w:cs="宋体"/>
                <w:color w:val="000000"/>
                <w:kern w:val="0"/>
                <w:sz w:val="24"/>
                <w:highlight w:val="none"/>
              </w:rPr>
              <w:t>精品课程建设等。</w:t>
            </w:r>
          </w:p>
          <w:p w14:paraId="7130209F">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2.</w:t>
            </w:r>
            <w:r>
              <w:rPr>
                <w:rFonts w:hint="eastAsia" w:ascii="仿宋_GB2312" w:hAnsi="等线" w:eastAsia="仿宋_GB2312" w:cs="宋体"/>
                <w:color w:val="000000"/>
                <w:kern w:val="0"/>
                <w:sz w:val="24"/>
                <w:highlight w:val="none"/>
              </w:rPr>
              <w:t>202</w:t>
            </w:r>
            <w:r>
              <w:rPr>
                <w:rFonts w:hint="eastAsia" w:ascii="仿宋_GB2312" w:hAnsi="等线" w:eastAsia="仿宋_GB2312" w:cs="宋体"/>
                <w:color w:val="000000"/>
                <w:kern w:val="0"/>
                <w:sz w:val="24"/>
                <w:highlight w:val="none"/>
                <w:lang w:val="en-US" w:eastAsia="zh-CN"/>
              </w:rPr>
              <w:t>3</w:t>
            </w:r>
            <w:r>
              <w:rPr>
                <w:rFonts w:hint="eastAsia" w:ascii="仿宋_GB2312" w:hAnsi="等线" w:eastAsia="仿宋_GB2312" w:cs="宋体"/>
                <w:color w:val="000000"/>
                <w:kern w:val="0"/>
                <w:sz w:val="24"/>
                <w:highlight w:val="none"/>
              </w:rPr>
              <w:t>年度省级</w:t>
            </w:r>
            <w:r>
              <w:rPr>
                <w:rFonts w:hint="eastAsia" w:ascii="仿宋_GB2312" w:hAnsi="等线" w:eastAsia="仿宋_GB2312" w:cs="宋体"/>
                <w:color w:val="000000"/>
                <w:kern w:val="0"/>
                <w:sz w:val="24"/>
                <w:highlight w:val="none"/>
                <w:lang w:val="en-US" w:eastAsia="zh-CN"/>
              </w:rPr>
              <w:t>及校级资源库、在线开放课程、</w:t>
            </w:r>
            <w:r>
              <w:rPr>
                <w:rFonts w:hint="eastAsia" w:ascii="仿宋_GB2312" w:hAnsi="等线" w:eastAsia="仿宋_GB2312" w:cs="宋体"/>
                <w:color w:val="000000"/>
                <w:kern w:val="0"/>
                <w:sz w:val="24"/>
                <w:highlight w:val="none"/>
              </w:rPr>
              <w:t>精品课程</w:t>
            </w:r>
            <w:r>
              <w:rPr>
                <w:rFonts w:hint="eastAsia" w:ascii="仿宋_GB2312" w:hAnsi="等线" w:eastAsia="仿宋_GB2312" w:cs="宋体"/>
                <w:color w:val="000000"/>
                <w:kern w:val="0"/>
                <w:sz w:val="24"/>
                <w:highlight w:val="none"/>
                <w:lang w:val="en-US" w:eastAsia="zh-CN"/>
              </w:rPr>
              <w:t>等</w:t>
            </w:r>
            <w:r>
              <w:rPr>
                <w:rFonts w:hint="eastAsia" w:ascii="仿宋_GB2312" w:hAnsi="等线" w:eastAsia="仿宋_GB2312" w:cs="宋体"/>
                <w:color w:val="000000"/>
                <w:kern w:val="0"/>
                <w:sz w:val="24"/>
                <w:highlight w:val="none"/>
              </w:rPr>
              <w:t>一览表</w:t>
            </w:r>
            <w:r>
              <w:rPr>
                <w:rFonts w:hint="eastAsia" w:ascii="仿宋_GB2312" w:hAnsi="等线" w:eastAsia="仿宋_GB2312" w:cs="宋体"/>
                <w:color w:val="000000"/>
                <w:kern w:val="0"/>
                <w:sz w:val="24"/>
                <w:highlight w:val="none"/>
                <w:lang w:eastAsia="zh-CN"/>
              </w:rPr>
              <w:t>。</w:t>
            </w:r>
          </w:p>
        </w:tc>
        <w:tc>
          <w:tcPr>
            <w:tcW w:w="1444" w:type="dxa"/>
            <w:vMerge w:val="continue"/>
            <w:vAlign w:val="center"/>
          </w:tcPr>
          <w:p w14:paraId="3B63A46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Align w:val="center"/>
          </w:tcPr>
          <w:p w14:paraId="454B004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35B4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515" w:type="dxa"/>
            <w:vMerge w:val="continue"/>
            <w:vAlign w:val="center"/>
          </w:tcPr>
          <w:p w14:paraId="6CACB42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continue"/>
            <w:vAlign w:val="center"/>
          </w:tcPr>
          <w:p w14:paraId="42652E3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72" w:type="dxa"/>
            <w:shd w:val="clear" w:color="auto" w:fill="auto"/>
            <w:noWrap/>
            <w:vAlign w:val="center"/>
          </w:tcPr>
          <w:p w14:paraId="30AB474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2.2.4课程评价</w:t>
            </w:r>
          </w:p>
        </w:tc>
        <w:tc>
          <w:tcPr>
            <w:tcW w:w="6069" w:type="dxa"/>
            <w:shd w:val="clear" w:color="auto" w:fill="auto"/>
            <w:vAlign w:val="center"/>
          </w:tcPr>
          <w:p w14:paraId="669C46E6">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教学质量监控机制构建、特色举措、成效等。</w:t>
            </w:r>
          </w:p>
        </w:tc>
        <w:tc>
          <w:tcPr>
            <w:tcW w:w="1444" w:type="dxa"/>
            <w:vMerge w:val="continue"/>
            <w:vAlign w:val="center"/>
          </w:tcPr>
          <w:p w14:paraId="496DB0E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Align w:val="center"/>
          </w:tcPr>
          <w:p w14:paraId="304E9A1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26C5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515" w:type="dxa"/>
            <w:vMerge w:val="continue"/>
            <w:vAlign w:val="center"/>
          </w:tcPr>
          <w:p w14:paraId="3E997C3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shd w:val="clear" w:color="auto" w:fill="auto"/>
            <w:noWrap/>
            <w:vAlign w:val="center"/>
          </w:tcPr>
          <w:p w14:paraId="3F8827C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2.3教学方法改革</w:t>
            </w:r>
          </w:p>
        </w:tc>
        <w:tc>
          <w:tcPr>
            <w:tcW w:w="2572" w:type="dxa"/>
            <w:shd w:val="clear" w:color="auto" w:fill="auto"/>
            <w:noWrap/>
            <w:vAlign w:val="center"/>
          </w:tcPr>
          <w:p w14:paraId="19EEA41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6069" w:type="dxa"/>
            <w:shd w:val="clear" w:color="auto" w:fill="auto"/>
            <w:vAlign w:val="center"/>
          </w:tcPr>
          <w:p w14:paraId="2D84FDFE">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概述：教学方法改革的举措及成效。（坚持因材施教、利用数字技术改进教学方法、教学方法创新、“做中学、学中做”）</w:t>
            </w:r>
          </w:p>
        </w:tc>
        <w:tc>
          <w:tcPr>
            <w:tcW w:w="1444" w:type="dxa"/>
            <w:shd w:val="clear" w:color="auto" w:fill="auto"/>
            <w:vAlign w:val="center"/>
          </w:tcPr>
          <w:p w14:paraId="5A86C0A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0</w:t>
            </w:r>
            <w:r>
              <w:rPr>
                <w:rFonts w:hint="eastAsia" w:ascii="仿宋_GB2312" w:hAnsi="等线" w:eastAsia="仿宋_GB2312" w:cs="宋体"/>
                <w:color w:val="000000"/>
                <w:kern w:val="0"/>
                <w:sz w:val="24"/>
                <w:highlight w:val="none"/>
              </w:rPr>
              <w:t>00</w:t>
            </w:r>
          </w:p>
        </w:tc>
        <w:tc>
          <w:tcPr>
            <w:tcW w:w="1677" w:type="dxa"/>
            <w:shd w:val="clear" w:color="auto" w:fill="auto"/>
            <w:vAlign w:val="center"/>
          </w:tcPr>
          <w:p w14:paraId="5800A34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795B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15" w:type="dxa"/>
            <w:vMerge w:val="continue"/>
            <w:vAlign w:val="center"/>
          </w:tcPr>
          <w:p w14:paraId="07A04D5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restart"/>
            <w:shd w:val="clear" w:color="auto" w:fill="auto"/>
            <w:noWrap/>
            <w:vAlign w:val="center"/>
          </w:tcPr>
          <w:p w14:paraId="7DE62D5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2.4教材建设</w:t>
            </w:r>
          </w:p>
        </w:tc>
        <w:tc>
          <w:tcPr>
            <w:tcW w:w="2572" w:type="dxa"/>
            <w:shd w:val="clear" w:color="auto" w:fill="auto"/>
            <w:noWrap/>
            <w:vAlign w:val="center"/>
          </w:tcPr>
          <w:p w14:paraId="189958A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2.4.1教材选用</w:t>
            </w:r>
          </w:p>
        </w:tc>
        <w:tc>
          <w:tcPr>
            <w:tcW w:w="6069" w:type="dxa"/>
            <w:vMerge w:val="restart"/>
            <w:shd w:val="clear" w:color="auto" w:fill="auto"/>
            <w:vAlign w:val="center"/>
          </w:tcPr>
          <w:p w14:paraId="25719EA1">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lang w:val="en-US" w:eastAsia="zh-CN"/>
              </w:rPr>
              <w:t>学校</w:t>
            </w:r>
            <w:r>
              <w:rPr>
                <w:rFonts w:hint="eastAsia" w:ascii="仿宋_GB2312" w:hAnsi="等线" w:eastAsia="仿宋_GB2312" w:cs="宋体"/>
                <w:color w:val="000000"/>
                <w:kern w:val="0"/>
                <w:sz w:val="24"/>
                <w:highlight w:val="none"/>
              </w:rPr>
              <w:t>教材选用和建设</w:t>
            </w:r>
            <w:r>
              <w:rPr>
                <w:rFonts w:hint="eastAsia" w:ascii="仿宋_GB2312" w:hAnsi="等线" w:eastAsia="仿宋_GB2312" w:cs="宋体"/>
                <w:color w:val="000000"/>
                <w:kern w:val="0"/>
                <w:sz w:val="24"/>
                <w:highlight w:val="none"/>
                <w:lang w:val="en-US" w:eastAsia="zh-CN"/>
              </w:rPr>
              <w:t>基本</w:t>
            </w:r>
            <w:r>
              <w:rPr>
                <w:rFonts w:hint="eastAsia" w:ascii="仿宋_GB2312" w:hAnsi="等线" w:eastAsia="仿宋_GB2312" w:cs="宋体"/>
                <w:color w:val="000000"/>
                <w:kern w:val="0"/>
                <w:sz w:val="24"/>
                <w:highlight w:val="none"/>
              </w:rPr>
              <w:t>情况。教师主编或参编的教材、校企合作开发的教材等情况</w:t>
            </w:r>
            <w:r>
              <w:rPr>
                <w:rFonts w:hint="eastAsia" w:ascii="仿宋_GB2312" w:hAnsi="等线" w:eastAsia="仿宋_GB2312" w:cs="宋体"/>
                <w:color w:val="000000"/>
                <w:kern w:val="0"/>
                <w:sz w:val="24"/>
                <w:highlight w:val="none"/>
                <w:lang w:eastAsia="zh-CN"/>
              </w:rPr>
              <w:t>。</w:t>
            </w:r>
          </w:p>
        </w:tc>
        <w:tc>
          <w:tcPr>
            <w:tcW w:w="1444" w:type="dxa"/>
            <w:vMerge w:val="restart"/>
            <w:shd w:val="clear" w:color="auto" w:fill="auto"/>
            <w:vAlign w:val="center"/>
          </w:tcPr>
          <w:p w14:paraId="648BDAF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800</w:t>
            </w:r>
          </w:p>
        </w:tc>
        <w:tc>
          <w:tcPr>
            <w:tcW w:w="1677" w:type="dxa"/>
            <w:vMerge w:val="restart"/>
            <w:shd w:val="clear" w:color="auto" w:fill="auto"/>
            <w:vAlign w:val="center"/>
          </w:tcPr>
          <w:p w14:paraId="60C53CD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1216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515" w:type="dxa"/>
            <w:vMerge w:val="continue"/>
            <w:vAlign w:val="center"/>
          </w:tcPr>
          <w:p w14:paraId="6406F4D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continue"/>
            <w:vAlign w:val="center"/>
          </w:tcPr>
          <w:p w14:paraId="29B84F6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72" w:type="dxa"/>
            <w:shd w:val="clear" w:color="auto" w:fill="auto"/>
            <w:noWrap/>
            <w:vAlign w:val="center"/>
          </w:tcPr>
          <w:p w14:paraId="640E6BF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2.4.2教材建设与改革</w:t>
            </w:r>
          </w:p>
        </w:tc>
        <w:tc>
          <w:tcPr>
            <w:tcW w:w="6069" w:type="dxa"/>
            <w:vMerge w:val="continue"/>
            <w:vAlign w:val="center"/>
          </w:tcPr>
          <w:p w14:paraId="356245D4">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p>
        </w:tc>
        <w:tc>
          <w:tcPr>
            <w:tcW w:w="1444" w:type="dxa"/>
            <w:vMerge w:val="continue"/>
            <w:vAlign w:val="center"/>
          </w:tcPr>
          <w:p w14:paraId="778260E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Merge w:val="continue"/>
            <w:vAlign w:val="center"/>
          </w:tcPr>
          <w:p w14:paraId="2F2B8AD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5B36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5" w:type="dxa"/>
            <w:vMerge w:val="continue"/>
            <w:vAlign w:val="center"/>
          </w:tcPr>
          <w:p w14:paraId="4573955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restart"/>
            <w:shd w:val="clear" w:color="auto" w:fill="auto"/>
            <w:noWrap/>
            <w:vAlign w:val="center"/>
          </w:tcPr>
          <w:p w14:paraId="41FD0F5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2.5数字化教学</w:t>
            </w:r>
          </w:p>
          <w:p w14:paraId="50D0A32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资源</w:t>
            </w:r>
          </w:p>
        </w:tc>
        <w:tc>
          <w:tcPr>
            <w:tcW w:w="2572" w:type="dxa"/>
            <w:shd w:val="clear" w:color="auto" w:fill="auto"/>
            <w:noWrap/>
            <w:vAlign w:val="center"/>
          </w:tcPr>
          <w:p w14:paraId="43FDC0A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2.5.1</w:t>
            </w:r>
            <w:r>
              <w:rPr>
                <w:rFonts w:hint="eastAsia" w:ascii="仿宋_GB2312" w:hAnsi="等线" w:eastAsia="仿宋_GB2312" w:cs="宋体"/>
                <w:color w:val="000000"/>
                <w:kern w:val="0"/>
                <w:sz w:val="24"/>
                <w:highlight w:val="none"/>
                <w:lang w:val="en-US" w:eastAsia="zh-CN"/>
              </w:rPr>
              <w:t>数字化校园建</w:t>
            </w:r>
            <w:r>
              <w:rPr>
                <w:rFonts w:hint="eastAsia" w:ascii="仿宋_GB2312" w:hAnsi="等线" w:eastAsia="仿宋_GB2312" w:cs="宋体"/>
                <w:color w:val="000000"/>
                <w:kern w:val="0"/>
                <w:sz w:val="24"/>
                <w:highlight w:val="none"/>
              </w:rPr>
              <w:t>设</w:t>
            </w:r>
          </w:p>
        </w:tc>
        <w:tc>
          <w:tcPr>
            <w:tcW w:w="6069" w:type="dxa"/>
            <w:shd w:val="clear" w:color="auto" w:fill="auto"/>
            <w:vAlign w:val="center"/>
          </w:tcPr>
          <w:p w14:paraId="1D7A4309">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1.概述：数字化校园建设情况，相关配套智慧教室建设及应用情况（主要从信息化教学角度），在实训室中的应用、在教室中的应用等。</w:t>
            </w:r>
          </w:p>
          <w:p w14:paraId="23E39F10">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2.概述：综合实训开展情况，成效等；实训平台投入使用情况；</w:t>
            </w:r>
          </w:p>
          <w:p w14:paraId="0958738F">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3.实训室、实训基地建设情况、新增实验实训室、校内实训基地、新增教科研仪器设备、学生实验、实训课程开设情况等。</w:t>
            </w:r>
          </w:p>
        </w:tc>
        <w:tc>
          <w:tcPr>
            <w:tcW w:w="1444" w:type="dxa"/>
            <w:shd w:val="clear" w:color="auto" w:fill="auto"/>
            <w:noWrap/>
            <w:vAlign w:val="center"/>
          </w:tcPr>
          <w:p w14:paraId="5BB94D0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8</w:t>
            </w:r>
            <w:r>
              <w:rPr>
                <w:rFonts w:hint="eastAsia" w:ascii="仿宋_GB2312" w:hAnsi="等线" w:eastAsia="仿宋_GB2312" w:cs="宋体"/>
                <w:color w:val="000000"/>
                <w:kern w:val="0"/>
                <w:sz w:val="24"/>
                <w:highlight w:val="none"/>
              </w:rPr>
              <w:t>00</w:t>
            </w:r>
          </w:p>
        </w:tc>
        <w:tc>
          <w:tcPr>
            <w:tcW w:w="1677" w:type="dxa"/>
            <w:shd w:val="clear" w:color="auto" w:fill="auto"/>
            <w:vAlign w:val="center"/>
          </w:tcPr>
          <w:p w14:paraId="70A1BD2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办公室</w:t>
            </w:r>
          </w:p>
          <w:p w14:paraId="30803A6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19B8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5" w:type="dxa"/>
            <w:vMerge w:val="continue"/>
            <w:vAlign w:val="center"/>
          </w:tcPr>
          <w:p w14:paraId="4E5A2AC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continue"/>
            <w:vAlign w:val="center"/>
          </w:tcPr>
          <w:p w14:paraId="6FC716D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72" w:type="dxa"/>
            <w:shd w:val="clear" w:color="auto" w:fill="auto"/>
            <w:noWrap/>
            <w:vAlign w:val="center"/>
          </w:tcPr>
          <w:p w14:paraId="78CFDA0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2.5.</w:t>
            </w:r>
            <w:r>
              <w:rPr>
                <w:rFonts w:hint="eastAsia" w:ascii="仿宋_GB2312" w:hAnsi="等线" w:eastAsia="仿宋_GB2312" w:cs="宋体"/>
                <w:color w:val="000000"/>
                <w:kern w:val="0"/>
                <w:sz w:val="24"/>
                <w:highlight w:val="none"/>
                <w:lang w:val="en-US" w:eastAsia="zh-CN"/>
              </w:rPr>
              <w:t>2</w:t>
            </w:r>
            <w:r>
              <w:rPr>
                <w:rFonts w:hint="eastAsia" w:ascii="仿宋_GB2312" w:hAnsi="等线" w:eastAsia="仿宋_GB2312" w:cs="宋体"/>
                <w:color w:val="000000"/>
                <w:kern w:val="0"/>
                <w:sz w:val="24"/>
                <w:highlight w:val="none"/>
              </w:rPr>
              <w:t>教学资源库建设</w:t>
            </w:r>
          </w:p>
        </w:tc>
        <w:tc>
          <w:tcPr>
            <w:tcW w:w="6069" w:type="dxa"/>
            <w:shd w:val="clear" w:color="auto" w:fill="auto"/>
            <w:vAlign w:val="center"/>
          </w:tcPr>
          <w:p w14:paraId="0A3A26B7">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lang w:eastAsia="zh-CN"/>
              </w:rPr>
              <w:t>概述：教学资源（库）建设及应用、精品课程建设、</w:t>
            </w:r>
            <w:r>
              <w:rPr>
                <w:rFonts w:hint="eastAsia" w:ascii="仿宋_GB2312" w:hAnsi="等线" w:eastAsia="仿宋_GB2312" w:cs="宋体"/>
                <w:color w:val="000000"/>
                <w:kern w:val="0"/>
                <w:sz w:val="24"/>
                <w:highlight w:val="none"/>
                <w:lang w:val="en-US" w:eastAsia="zh-CN"/>
              </w:rPr>
              <w:t>信息化教学平台</w:t>
            </w:r>
            <w:r>
              <w:rPr>
                <w:rFonts w:hint="eastAsia" w:ascii="仿宋_GB2312" w:hAnsi="等线" w:eastAsia="仿宋_GB2312" w:cs="宋体"/>
                <w:color w:val="000000"/>
                <w:kern w:val="0"/>
                <w:sz w:val="24"/>
                <w:highlight w:val="none"/>
                <w:lang w:eastAsia="zh-CN"/>
              </w:rPr>
              <w:t>建设及应用等情况。</w:t>
            </w:r>
          </w:p>
        </w:tc>
        <w:tc>
          <w:tcPr>
            <w:tcW w:w="1444" w:type="dxa"/>
            <w:vAlign w:val="center"/>
          </w:tcPr>
          <w:p w14:paraId="31BBA96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600</w:t>
            </w:r>
          </w:p>
        </w:tc>
        <w:tc>
          <w:tcPr>
            <w:tcW w:w="1677" w:type="dxa"/>
            <w:vAlign w:val="center"/>
          </w:tcPr>
          <w:p w14:paraId="17F1B9C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4DDF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Merge w:val="continue"/>
            <w:vAlign w:val="center"/>
          </w:tcPr>
          <w:p w14:paraId="571216B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continue"/>
            <w:vAlign w:val="center"/>
          </w:tcPr>
          <w:p w14:paraId="02A8631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72" w:type="dxa"/>
            <w:shd w:val="clear" w:color="auto" w:fill="auto"/>
            <w:noWrap/>
            <w:vAlign w:val="center"/>
          </w:tcPr>
          <w:p w14:paraId="1D923B1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2.5.</w:t>
            </w:r>
            <w:r>
              <w:rPr>
                <w:rFonts w:hint="eastAsia" w:ascii="仿宋_GB2312" w:hAnsi="等线" w:eastAsia="仿宋_GB2312" w:cs="宋体"/>
                <w:color w:val="000000"/>
                <w:kern w:val="0"/>
                <w:sz w:val="24"/>
                <w:highlight w:val="none"/>
                <w:lang w:val="en-US" w:eastAsia="zh-CN"/>
              </w:rPr>
              <w:t>3图书馆</w:t>
            </w:r>
            <w:r>
              <w:rPr>
                <w:rFonts w:hint="eastAsia" w:ascii="仿宋_GB2312" w:hAnsi="等线" w:eastAsia="仿宋_GB2312" w:cs="宋体"/>
                <w:color w:val="000000"/>
                <w:kern w:val="0"/>
                <w:sz w:val="24"/>
                <w:highlight w:val="none"/>
              </w:rPr>
              <w:t>建设</w:t>
            </w:r>
          </w:p>
        </w:tc>
        <w:tc>
          <w:tcPr>
            <w:tcW w:w="6069" w:type="dxa"/>
            <w:shd w:val="clear" w:color="auto" w:fill="auto"/>
            <w:vAlign w:val="center"/>
          </w:tcPr>
          <w:p w14:paraId="42333AFE">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eastAsia="zh-CN"/>
              </w:rPr>
              <w:t>概述：</w:t>
            </w:r>
            <w:r>
              <w:rPr>
                <w:rFonts w:hint="eastAsia" w:ascii="仿宋_GB2312" w:hAnsi="等线" w:eastAsia="仿宋_GB2312" w:cs="宋体"/>
                <w:color w:val="000000"/>
                <w:kern w:val="0"/>
                <w:sz w:val="24"/>
                <w:highlight w:val="none"/>
              </w:rPr>
              <w:t>图书馆建设情况，包括生均图书、年进书量、开放情况以及特色创新之处等。</w:t>
            </w:r>
          </w:p>
        </w:tc>
        <w:tc>
          <w:tcPr>
            <w:tcW w:w="1444" w:type="dxa"/>
            <w:vAlign w:val="center"/>
          </w:tcPr>
          <w:p w14:paraId="59C4332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600</w:t>
            </w:r>
          </w:p>
        </w:tc>
        <w:tc>
          <w:tcPr>
            <w:tcW w:w="1677" w:type="dxa"/>
            <w:vAlign w:val="center"/>
          </w:tcPr>
          <w:p w14:paraId="1CBE4F4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图书馆</w:t>
            </w:r>
          </w:p>
        </w:tc>
      </w:tr>
      <w:tr w14:paraId="296C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15" w:type="dxa"/>
            <w:vMerge w:val="continue"/>
            <w:vAlign w:val="center"/>
          </w:tcPr>
          <w:p w14:paraId="4F91EBB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restart"/>
            <w:shd w:val="clear" w:color="auto" w:fill="auto"/>
            <w:noWrap/>
            <w:vAlign w:val="center"/>
          </w:tcPr>
          <w:p w14:paraId="2A4887E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2.6师资队伍</w:t>
            </w:r>
          </w:p>
        </w:tc>
        <w:tc>
          <w:tcPr>
            <w:tcW w:w="2572" w:type="dxa"/>
            <w:shd w:val="clear" w:color="auto" w:fill="auto"/>
            <w:noWrap/>
            <w:vAlign w:val="center"/>
          </w:tcPr>
          <w:p w14:paraId="7C321D0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rPr>
              <w:t>2.6.1师德师风</w:t>
            </w:r>
            <w:r>
              <w:rPr>
                <w:rFonts w:hint="eastAsia" w:ascii="仿宋_GB2312" w:hAnsi="等线" w:eastAsia="仿宋_GB2312" w:cs="宋体"/>
                <w:color w:val="000000"/>
                <w:kern w:val="0"/>
                <w:sz w:val="24"/>
                <w:highlight w:val="none"/>
                <w:lang w:val="en-US" w:eastAsia="zh-CN"/>
              </w:rPr>
              <w:t>建设</w:t>
            </w:r>
          </w:p>
        </w:tc>
        <w:tc>
          <w:tcPr>
            <w:tcW w:w="6069" w:type="dxa"/>
            <w:vMerge w:val="restart"/>
            <w:shd w:val="clear" w:color="auto" w:fill="auto"/>
            <w:vAlign w:val="center"/>
          </w:tcPr>
          <w:p w14:paraId="592E1B16">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1.</w:t>
            </w:r>
            <w:r>
              <w:rPr>
                <w:rFonts w:hint="eastAsia" w:ascii="仿宋_GB2312" w:hAnsi="等线" w:eastAsia="仿宋_GB2312" w:cs="宋体"/>
                <w:color w:val="000000"/>
                <w:kern w:val="0"/>
                <w:sz w:val="24"/>
                <w:highlight w:val="none"/>
              </w:rPr>
              <w:t>师德师风方面的建设</w:t>
            </w:r>
            <w:r>
              <w:rPr>
                <w:rFonts w:hint="eastAsia" w:ascii="仿宋_GB2312" w:hAnsi="等线" w:eastAsia="仿宋_GB2312" w:cs="宋体"/>
                <w:color w:val="000000"/>
                <w:kern w:val="0"/>
                <w:sz w:val="24"/>
                <w:highlight w:val="none"/>
                <w:lang w:val="en-US" w:eastAsia="zh-CN"/>
              </w:rPr>
              <w:t>举措及</w:t>
            </w:r>
            <w:r>
              <w:rPr>
                <w:rFonts w:hint="eastAsia" w:ascii="仿宋_GB2312" w:hAnsi="等线" w:eastAsia="仿宋_GB2312" w:cs="宋体"/>
                <w:color w:val="000000"/>
                <w:kern w:val="0"/>
                <w:sz w:val="24"/>
                <w:highlight w:val="none"/>
              </w:rPr>
              <w:t>成效</w:t>
            </w:r>
          </w:p>
          <w:p w14:paraId="35F06020">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2.</w:t>
            </w:r>
            <w:r>
              <w:rPr>
                <w:rFonts w:hint="eastAsia" w:ascii="仿宋_GB2312" w:hAnsi="等线" w:eastAsia="仿宋_GB2312" w:cs="宋体"/>
                <w:color w:val="000000"/>
                <w:kern w:val="0"/>
                <w:sz w:val="24"/>
                <w:highlight w:val="none"/>
              </w:rPr>
              <w:t>师资队伍结构</w:t>
            </w:r>
            <w:r>
              <w:rPr>
                <w:rFonts w:hint="eastAsia" w:ascii="仿宋_GB2312" w:hAnsi="等线" w:eastAsia="仿宋_GB2312" w:cs="宋体"/>
                <w:color w:val="000000"/>
                <w:kern w:val="0"/>
                <w:sz w:val="24"/>
                <w:highlight w:val="none"/>
                <w:lang w:val="en-US" w:eastAsia="zh-CN"/>
              </w:rPr>
              <w:t>优化情况及成效。（</w:t>
            </w:r>
            <w:r>
              <w:rPr>
                <w:rFonts w:hint="eastAsia" w:ascii="仿宋_GB2312" w:hAnsi="等线" w:eastAsia="仿宋_GB2312" w:cs="宋体"/>
                <w:color w:val="000000"/>
                <w:kern w:val="0"/>
                <w:sz w:val="24"/>
                <w:highlight w:val="none"/>
              </w:rPr>
              <w:t>专兼任教师总数；学历分布占专任教师比重；职称结构占专任教师比重</w:t>
            </w:r>
            <w:r>
              <w:rPr>
                <w:rFonts w:hint="eastAsia" w:ascii="仿宋_GB2312" w:hAnsi="等线" w:eastAsia="仿宋_GB2312" w:cs="宋体"/>
                <w:color w:val="000000"/>
                <w:kern w:val="0"/>
                <w:sz w:val="24"/>
                <w:highlight w:val="none"/>
                <w:lang w:val="en-US" w:eastAsia="zh-CN"/>
              </w:rPr>
              <w:t>等）</w:t>
            </w:r>
          </w:p>
          <w:p w14:paraId="1BEC66E5">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3.</w:t>
            </w:r>
            <w:r>
              <w:rPr>
                <w:rFonts w:hint="eastAsia" w:ascii="仿宋_GB2312" w:hAnsi="等线" w:eastAsia="仿宋_GB2312" w:cs="宋体"/>
                <w:color w:val="000000"/>
                <w:kern w:val="0"/>
                <w:sz w:val="24"/>
                <w:highlight w:val="none"/>
              </w:rPr>
              <w:t>“双师型”教师培养</w:t>
            </w:r>
            <w:r>
              <w:rPr>
                <w:rFonts w:hint="eastAsia" w:ascii="仿宋_GB2312" w:hAnsi="等线" w:eastAsia="仿宋_GB2312" w:cs="宋体"/>
                <w:color w:val="000000"/>
                <w:kern w:val="0"/>
                <w:sz w:val="24"/>
                <w:highlight w:val="none"/>
                <w:lang w:val="en-US" w:eastAsia="zh-CN"/>
              </w:rPr>
              <w:t>机制、举措及成效。（</w:t>
            </w:r>
            <w:r>
              <w:rPr>
                <w:rFonts w:hint="eastAsia" w:ascii="仿宋_GB2312" w:hAnsi="等线" w:eastAsia="仿宋_GB2312" w:cs="宋体"/>
                <w:color w:val="000000"/>
                <w:kern w:val="0"/>
                <w:sz w:val="24"/>
                <w:highlight w:val="none"/>
              </w:rPr>
              <w:t>教师专业发展情况；教师赴企业、学校实践情况；强化教师实践能力，提升师资队伍建设水平情况、教师职业能力</w:t>
            </w:r>
            <w:r>
              <w:rPr>
                <w:rFonts w:hint="eastAsia" w:ascii="仿宋_GB2312" w:hAnsi="等线" w:eastAsia="仿宋_GB2312" w:cs="宋体"/>
                <w:color w:val="000000"/>
                <w:kern w:val="0"/>
                <w:sz w:val="24"/>
                <w:highlight w:val="none"/>
                <w:lang w:val="en-US" w:eastAsia="zh-CN"/>
              </w:rPr>
              <w:t>获奖情况</w:t>
            </w:r>
            <w:r>
              <w:rPr>
                <w:rFonts w:hint="eastAsia" w:ascii="仿宋_GB2312" w:hAnsi="等线" w:eastAsia="仿宋_GB2312" w:cs="宋体"/>
                <w:color w:val="000000"/>
                <w:kern w:val="0"/>
                <w:sz w:val="24"/>
                <w:highlight w:val="none"/>
              </w:rPr>
              <w:t>等</w:t>
            </w:r>
            <w:r>
              <w:rPr>
                <w:rFonts w:hint="eastAsia" w:ascii="仿宋_GB2312" w:hAnsi="等线" w:eastAsia="仿宋_GB2312" w:cs="宋体"/>
                <w:color w:val="000000"/>
                <w:kern w:val="0"/>
                <w:sz w:val="24"/>
                <w:highlight w:val="none"/>
                <w:lang w:val="en-US" w:eastAsia="zh-CN"/>
              </w:rPr>
              <w:t>）</w:t>
            </w:r>
            <w:r>
              <w:rPr>
                <w:rFonts w:hint="eastAsia" w:ascii="仿宋_GB2312" w:hAnsi="等线" w:eastAsia="仿宋_GB2312" w:cs="宋体"/>
                <w:color w:val="000000"/>
                <w:kern w:val="0"/>
                <w:sz w:val="24"/>
                <w:highlight w:val="none"/>
              </w:rPr>
              <w:t>。</w:t>
            </w:r>
          </w:p>
          <w:p w14:paraId="27489B6D">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4.国家级</w:t>
            </w:r>
            <w:r>
              <w:rPr>
                <w:rFonts w:hint="eastAsia" w:ascii="仿宋_GB2312" w:hAnsi="等线" w:eastAsia="仿宋_GB2312" w:cs="宋体"/>
                <w:color w:val="000000"/>
                <w:kern w:val="0"/>
                <w:sz w:val="24"/>
                <w:highlight w:val="none"/>
              </w:rPr>
              <w:t>教学创新团队建设</w:t>
            </w:r>
            <w:r>
              <w:rPr>
                <w:rFonts w:hint="eastAsia" w:ascii="仿宋_GB2312" w:hAnsi="等线" w:eastAsia="仿宋_GB2312" w:cs="宋体"/>
                <w:color w:val="000000"/>
                <w:kern w:val="0"/>
                <w:sz w:val="24"/>
                <w:highlight w:val="none"/>
                <w:lang w:val="en-US" w:eastAsia="zh-CN"/>
              </w:rPr>
              <w:t>推进情况及成效。</w:t>
            </w:r>
          </w:p>
        </w:tc>
        <w:tc>
          <w:tcPr>
            <w:tcW w:w="1444" w:type="dxa"/>
            <w:vMerge w:val="restart"/>
            <w:shd w:val="clear" w:color="auto" w:fill="auto"/>
            <w:vAlign w:val="center"/>
          </w:tcPr>
          <w:p w14:paraId="5E43D4C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2000</w:t>
            </w:r>
          </w:p>
        </w:tc>
        <w:tc>
          <w:tcPr>
            <w:tcW w:w="1677" w:type="dxa"/>
            <w:vMerge w:val="restart"/>
            <w:shd w:val="clear" w:color="auto" w:fill="auto"/>
            <w:vAlign w:val="center"/>
          </w:tcPr>
          <w:p w14:paraId="73F7F7F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组织人事处</w:t>
            </w:r>
          </w:p>
        </w:tc>
      </w:tr>
      <w:tr w14:paraId="568D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515" w:type="dxa"/>
            <w:vMerge w:val="continue"/>
            <w:vAlign w:val="center"/>
          </w:tcPr>
          <w:p w14:paraId="2D01E7E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continue"/>
            <w:vAlign w:val="center"/>
          </w:tcPr>
          <w:p w14:paraId="61015A7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72" w:type="dxa"/>
            <w:shd w:val="clear" w:color="auto" w:fill="auto"/>
            <w:noWrap/>
            <w:vAlign w:val="center"/>
          </w:tcPr>
          <w:p w14:paraId="1CF1AF2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2.6.2师资队伍结构</w:t>
            </w:r>
          </w:p>
        </w:tc>
        <w:tc>
          <w:tcPr>
            <w:tcW w:w="6069" w:type="dxa"/>
            <w:vMerge w:val="continue"/>
            <w:vAlign w:val="center"/>
          </w:tcPr>
          <w:p w14:paraId="1708BF33">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p>
        </w:tc>
        <w:tc>
          <w:tcPr>
            <w:tcW w:w="1444" w:type="dxa"/>
            <w:vMerge w:val="continue"/>
            <w:vAlign w:val="center"/>
          </w:tcPr>
          <w:p w14:paraId="51DB246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Merge w:val="continue"/>
            <w:vAlign w:val="center"/>
          </w:tcPr>
          <w:p w14:paraId="1C46855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6C6D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15" w:type="dxa"/>
            <w:vMerge w:val="continue"/>
            <w:vAlign w:val="center"/>
          </w:tcPr>
          <w:p w14:paraId="3CD40DC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continue"/>
            <w:vAlign w:val="center"/>
          </w:tcPr>
          <w:p w14:paraId="27B215F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72" w:type="dxa"/>
            <w:shd w:val="clear" w:color="auto" w:fill="auto"/>
            <w:noWrap/>
            <w:vAlign w:val="center"/>
          </w:tcPr>
          <w:p w14:paraId="17E5B42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2.6.3“双师型”教师培养</w:t>
            </w:r>
          </w:p>
        </w:tc>
        <w:tc>
          <w:tcPr>
            <w:tcW w:w="6069" w:type="dxa"/>
            <w:vMerge w:val="continue"/>
            <w:vAlign w:val="center"/>
          </w:tcPr>
          <w:p w14:paraId="16B653AD">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p>
        </w:tc>
        <w:tc>
          <w:tcPr>
            <w:tcW w:w="1444" w:type="dxa"/>
            <w:vMerge w:val="continue"/>
            <w:vAlign w:val="center"/>
          </w:tcPr>
          <w:p w14:paraId="39CA7D6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Merge w:val="continue"/>
            <w:vAlign w:val="center"/>
          </w:tcPr>
          <w:p w14:paraId="1527FEC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4BC8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515" w:type="dxa"/>
            <w:vMerge w:val="continue"/>
            <w:vAlign w:val="center"/>
          </w:tcPr>
          <w:p w14:paraId="69157C9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vMerge w:val="continue"/>
            <w:vAlign w:val="center"/>
          </w:tcPr>
          <w:p w14:paraId="5141E4F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72" w:type="dxa"/>
            <w:shd w:val="clear" w:color="auto" w:fill="auto"/>
            <w:noWrap/>
            <w:vAlign w:val="center"/>
          </w:tcPr>
          <w:p w14:paraId="38014B4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rPr>
              <w:t>2.6.4</w:t>
            </w:r>
            <w:r>
              <w:rPr>
                <w:rFonts w:hint="eastAsia" w:ascii="仿宋_GB2312" w:hAnsi="等线" w:eastAsia="仿宋_GB2312" w:cs="宋体"/>
                <w:color w:val="000000"/>
                <w:kern w:val="0"/>
                <w:sz w:val="24"/>
                <w:highlight w:val="none"/>
                <w:lang w:val="en-US" w:eastAsia="zh-CN"/>
              </w:rPr>
              <w:t>国家级</w:t>
            </w:r>
            <w:r>
              <w:rPr>
                <w:rFonts w:hint="eastAsia" w:ascii="仿宋_GB2312" w:hAnsi="等线" w:eastAsia="仿宋_GB2312" w:cs="宋体"/>
                <w:color w:val="000000"/>
                <w:kern w:val="0"/>
                <w:sz w:val="24"/>
                <w:highlight w:val="none"/>
              </w:rPr>
              <w:t>教学创新团队建设</w:t>
            </w:r>
          </w:p>
        </w:tc>
        <w:tc>
          <w:tcPr>
            <w:tcW w:w="6069" w:type="dxa"/>
            <w:vMerge w:val="continue"/>
            <w:vAlign w:val="center"/>
          </w:tcPr>
          <w:p w14:paraId="08223233">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p>
        </w:tc>
        <w:tc>
          <w:tcPr>
            <w:tcW w:w="1444" w:type="dxa"/>
            <w:vMerge w:val="continue"/>
            <w:vAlign w:val="center"/>
          </w:tcPr>
          <w:p w14:paraId="1A3548A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Merge w:val="continue"/>
            <w:shd w:val="clear" w:color="auto" w:fill="auto"/>
            <w:vAlign w:val="center"/>
          </w:tcPr>
          <w:p w14:paraId="515F591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60EA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5" w:type="dxa"/>
            <w:vMerge w:val="continue"/>
            <w:vAlign w:val="center"/>
          </w:tcPr>
          <w:p w14:paraId="7B76242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shd w:val="clear" w:color="auto" w:fill="auto"/>
            <w:noWrap/>
            <w:vAlign w:val="center"/>
          </w:tcPr>
          <w:p w14:paraId="1FEC356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2.8教科研工作</w:t>
            </w:r>
          </w:p>
        </w:tc>
        <w:tc>
          <w:tcPr>
            <w:tcW w:w="2572" w:type="dxa"/>
            <w:shd w:val="clear" w:color="auto" w:fill="auto"/>
            <w:noWrap/>
            <w:vAlign w:val="center"/>
          </w:tcPr>
          <w:p w14:paraId="14B08D6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6069" w:type="dxa"/>
            <w:shd w:val="clear" w:color="auto" w:fill="auto"/>
            <w:vAlign w:val="center"/>
          </w:tcPr>
          <w:p w14:paraId="3004768F">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kern w:val="0"/>
                <w:sz w:val="24"/>
                <w:highlight w:val="none"/>
              </w:rPr>
            </w:pPr>
            <w:r>
              <w:rPr>
                <w:rFonts w:hint="eastAsia" w:ascii="仿宋_GB2312" w:hAnsi="等线" w:eastAsia="仿宋_GB2312" w:cs="宋体"/>
                <w:kern w:val="0"/>
                <w:sz w:val="24"/>
                <w:highlight w:val="none"/>
              </w:rPr>
              <w:t>教科研项目建设情况。</w:t>
            </w:r>
          </w:p>
        </w:tc>
        <w:tc>
          <w:tcPr>
            <w:tcW w:w="1444" w:type="dxa"/>
            <w:shd w:val="clear" w:color="auto" w:fill="auto"/>
            <w:noWrap/>
            <w:vAlign w:val="center"/>
          </w:tcPr>
          <w:p w14:paraId="687B049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800</w:t>
            </w:r>
          </w:p>
        </w:tc>
        <w:tc>
          <w:tcPr>
            <w:tcW w:w="1677" w:type="dxa"/>
            <w:shd w:val="clear" w:color="auto" w:fill="auto"/>
            <w:noWrap/>
            <w:vAlign w:val="center"/>
          </w:tcPr>
          <w:p w14:paraId="558AC0D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2F29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15" w:type="dxa"/>
            <w:vMerge w:val="restart"/>
            <w:vAlign w:val="center"/>
          </w:tcPr>
          <w:p w14:paraId="3F5A5A2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3.服务贡献</w:t>
            </w:r>
          </w:p>
        </w:tc>
        <w:tc>
          <w:tcPr>
            <w:tcW w:w="2564" w:type="dxa"/>
            <w:shd w:val="clear" w:color="auto" w:fill="auto"/>
            <w:noWrap/>
            <w:vAlign w:val="center"/>
          </w:tcPr>
          <w:p w14:paraId="4585FCC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3</w:t>
            </w: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服务行业企业</w:t>
            </w:r>
          </w:p>
        </w:tc>
        <w:tc>
          <w:tcPr>
            <w:tcW w:w="2572" w:type="dxa"/>
            <w:shd w:val="clear" w:color="auto" w:fill="auto"/>
            <w:noWrap/>
            <w:vAlign w:val="center"/>
          </w:tcPr>
          <w:p w14:paraId="31FE21E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6069" w:type="dxa"/>
            <w:shd w:val="clear" w:color="auto" w:fill="auto"/>
            <w:vAlign w:val="center"/>
          </w:tcPr>
          <w:p w14:paraId="6B2E84B9">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概述：</w:t>
            </w:r>
            <w:r>
              <w:rPr>
                <w:rFonts w:hint="eastAsia" w:ascii="仿宋_GB2312" w:hAnsi="等线" w:eastAsia="仿宋_GB2312" w:cs="宋体"/>
                <w:color w:val="000000"/>
                <w:kern w:val="0"/>
                <w:sz w:val="24"/>
                <w:highlight w:val="none"/>
                <w:lang w:val="en-US" w:eastAsia="zh-CN"/>
              </w:rPr>
              <w:t>1.</w:t>
            </w:r>
            <w:r>
              <w:rPr>
                <w:rFonts w:hint="eastAsia" w:ascii="仿宋_GB2312" w:hAnsi="等线" w:eastAsia="仿宋_GB2312" w:cs="宋体"/>
                <w:color w:val="000000"/>
                <w:kern w:val="0"/>
                <w:sz w:val="24"/>
                <w:highlight w:val="none"/>
              </w:rPr>
              <w:t>技术服务、科研成果转化、科技服务助推产业、企业转型升级的做法与成效等。</w:t>
            </w:r>
          </w:p>
          <w:p w14:paraId="592BF362">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kern w:val="0"/>
                <w:sz w:val="24"/>
                <w:highlight w:val="none"/>
              </w:rPr>
            </w:pPr>
            <w:r>
              <w:rPr>
                <w:rFonts w:hint="eastAsia" w:ascii="仿宋_GB2312" w:hAnsi="等线" w:eastAsia="仿宋_GB2312" w:cs="宋体"/>
                <w:color w:val="000000"/>
                <w:kern w:val="0"/>
                <w:sz w:val="24"/>
                <w:highlight w:val="none"/>
                <w:lang w:val="en-US" w:eastAsia="zh-CN"/>
              </w:rPr>
              <w:t>2.面向行业企业开展培训情况</w:t>
            </w:r>
            <w:r>
              <w:rPr>
                <w:rFonts w:hint="eastAsia" w:ascii="仿宋_GB2312" w:hAnsi="等线" w:eastAsia="仿宋_GB2312" w:cs="宋体"/>
                <w:color w:val="000000"/>
                <w:kern w:val="0"/>
                <w:sz w:val="24"/>
                <w:highlight w:val="none"/>
              </w:rPr>
              <w:t>等。</w:t>
            </w:r>
          </w:p>
        </w:tc>
        <w:tc>
          <w:tcPr>
            <w:tcW w:w="1444" w:type="dxa"/>
            <w:shd w:val="clear" w:color="auto" w:fill="auto"/>
            <w:noWrap/>
            <w:vAlign w:val="center"/>
          </w:tcPr>
          <w:p w14:paraId="47A90CF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0</w:t>
            </w:r>
            <w:r>
              <w:rPr>
                <w:rFonts w:hint="eastAsia" w:ascii="仿宋_GB2312" w:hAnsi="等线" w:eastAsia="仿宋_GB2312" w:cs="宋体"/>
                <w:color w:val="000000"/>
                <w:kern w:val="0"/>
                <w:sz w:val="24"/>
                <w:highlight w:val="none"/>
              </w:rPr>
              <w:t>00</w:t>
            </w:r>
          </w:p>
        </w:tc>
        <w:tc>
          <w:tcPr>
            <w:tcW w:w="1677" w:type="dxa"/>
            <w:shd w:val="clear" w:color="auto" w:fill="auto"/>
            <w:noWrap/>
            <w:vAlign w:val="center"/>
          </w:tcPr>
          <w:p w14:paraId="77CF014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现代教育技术中心</w:t>
            </w:r>
          </w:p>
          <w:p w14:paraId="6DC4C60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教务处</w:t>
            </w:r>
          </w:p>
        </w:tc>
      </w:tr>
      <w:tr w14:paraId="5593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15" w:type="dxa"/>
            <w:vMerge w:val="continue"/>
            <w:vAlign w:val="center"/>
          </w:tcPr>
          <w:p w14:paraId="77C6DD8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shd w:val="clear" w:color="auto" w:fill="auto"/>
            <w:noWrap/>
            <w:vAlign w:val="center"/>
          </w:tcPr>
          <w:p w14:paraId="18FFED2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3</w:t>
            </w:r>
            <w:r>
              <w:rPr>
                <w:rFonts w:hint="eastAsia" w:ascii="仿宋_GB2312" w:hAnsi="等线" w:eastAsia="仿宋_GB2312" w:cs="宋体"/>
                <w:color w:val="000000"/>
                <w:kern w:val="0"/>
                <w:sz w:val="24"/>
                <w:highlight w:val="none"/>
              </w:rPr>
              <w:t>.2服务</w:t>
            </w:r>
            <w:r>
              <w:rPr>
                <w:rFonts w:hint="eastAsia" w:ascii="仿宋_GB2312" w:hAnsi="等线" w:eastAsia="仿宋_GB2312" w:cs="宋体"/>
                <w:color w:val="000000"/>
                <w:kern w:val="0"/>
                <w:sz w:val="24"/>
                <w:highlight w:val="none"/>
                <w:lang w:val="en-US" w:eastAsia="zh-CN"/>
              </w:rPr>
              <w:t>地方</w:t>
            </w:r>
            <w:r>
              <w:rPr>
                <w:rFonts w:hint="eastAsia" w:ascii="仿宋_GB2312" w:hAnsi="等线" w:eastAsia="仿宋_GB2312" w:cs="宋体"/>
                <w:color w:val="000000"/>
                <w:kern w:val="0"/>
                <w:sz w:val="24"/>
                <w:highlight w:val="none"/>
              </w:rPr>
              <w:t>发展</w:t>
            </w:r>
          </w:p>
        </w:tc>
        <w:tc>
          <w:tcPr>
            <w:tcW w:w="2572" w:type="dxa"/>
            <w:shd w:val="clear" w:color="auto" w:fill="auto"/>
            <w:noWrap/>
            <w:vAlign w:val="center"/>
          </w:tcPr>
          <w:p w14:paraId="4D2344C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6069" w:type="dxa"/>
            <w:shd w:val="clear" w:color="auto" w:fill="auto"/>
            <w:vAlign w:val="center"/>
          </w:tcPr>
          <w:p w14:paraId="12006E7C">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概述：</w:t>
            </w:r>
            <w:r>
              <w:rPr>
                <w:rFonts w:hint="eastAsia" w:ascii="仿宋_GB2312" w:hAnsi="等线" w:eastAsia="仿宋_GB2312" w:cs="宋体"/>
                <w:color w:val="000000"/>
                <w:kern w:val="0"/>
                <w:sz w:val="24"/>
                <w:highlight w:val="none"/>
                <w:lang w:val="en-US" w:eastAsia="zh-CN"/>
              </w:rPr>
              <w:t>1.</w:t>
            </w:r>
            <w:r>
              <w:rPr>
                <w:rFonts w:hint="eastAsia" w:ascii="仿宋_GB2312" w:hAnsi="等线" w:eastAsia="仿宋_GB2312" w:cs="宋体"/>
                <w:color w:val="000000"/>
                <w:kern w:val="0"/>
                <w:sz w:val="24"/>
                <w:highlight w:val="none"/>
              </w:rPr>
              <w:t>学校科研基本情况（包括纵横向科技研发）；</w:t>
            </w:r>
          </w:p>
          <w:p w14:paraId="5927A51B">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2.</w:t>
            </w:r>
            <w:r>
              <w:rPr>
                <w:rFonts w:hint="eastAsia" w:ascii="仿宋_GB2312" w:hAnsi="等线" w:eastAsia="仿宋_GB2312" w:cs="宋体"/>
                <w:color w:val="000000"/>
                <w:kern w:val="0"/>
                <w:sz w:val="24"/>
                <w:highlight w:val="none"/>
              </w:rPr>
              <w:t>产学研基地、科技创新、技术交易、专利、著作权等申请情况；</w:t>
            </w:r>
          </w:p>
          <w:p w14:paraId="52DFB575">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lang w:val="en-US" w:eastAsia="zh-CN"/>
              </w:rPr>
              <w:t>3.</w:t>
            </w:r>
            <w:r>
              <w:rPr>
                <w:rFonts w:hint="eastAsia" w:ascii="仿宋_GB2312" w:hAnsi="等线" w:eastAsia="仿宋_GB2312" w:cs="宋体"/>
                <w:color w:val="000000"/>
                <w:kern w:val="0"/>
                <w:sz w:val="24"/>
                <w:highlight w:val="none"/>
              </w:rPr>
              <w:t>服务国家发展规划、服务产业行业转型升级、</w:t>
            </w:r>
            <w:r>
              <w:rPr>
                <w:rFonts w:hint="eastAsia" w:ascii="仿宋_GB2312" w:hAnsi="等线" w:eastAsia="仿宋_GB2312" w:cs="宋体"/>
                <w:color w:val="000000"/>
                <w:kern w:val="0"/>
                <w:sz w:val="24"/>
                <w:highlight w:val="none"/>
                <w:lang w:val="en-US" w:eastAsia="zh-CN"/>
              </w:rPr>
              <w:t>服务</w:t>
            </w:r>
            <w:r>
              <w:rPr>
                <w:rFonts w:hint="eastAsia" w:ascii="仿宋_GB2312" w:hAnsi="等线" w:eastAsia="仿宋_GB2312" w:cs="宋体"/>
                <w:color w:val="000000"/>
                <w:kern w:val="0"/>
                <w:sz w:val="24"/>
                <w:highlight w:val="none"/>
              </w:rPr>
              <w:t>地方经济发展</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“三地一区”“十大”新兴产业等情况</w:t>
            </w:r>
            <w:r>
              <w:rPr>
                <w:rFonts w:hint="eastAsia" w:ascii="仿宋_GB2312" w:hAnsi="等线" w:eastAsia="仿宋_GB2312" w:cs="宋体"/>
                <w:color w:val="000000"/>
                <w:kern w:val="0"/>
                <w:sz w:val="24"/>
                <w:highlight w:val="none"/>
                <w:lang w:eastAsia="zh-CN"/>
              </w:rPr>
              <w:t>；</w:t>
            </w:r>
          </w:p>
          <w:p w14:paraId="4B3FCA69">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kern w:val="0"/>
                <w:sz w:val="24"/>
                <w:highlight w:val="none"/>
              </w:rPr>
            </w:pPr>
            <w:r>
              <w:rPr>
                <w:rFonts w:hint="eastAsia" w:ascii="仿宋_GB2312" w:hAnsi="等线" w:eastAsia="仿宋_GB2312" w:cs="宋体"/>
                <w:color w:val="000000"/>
                <w:kern w:val="0"/>
                <w:sz w:val="24"/>
                <w:highlight w:val="none"/>
                <w:lang w:val="en-US" w:eastAsia="zh-CN"/>
              </w:rPr>
              <w:t>4.成人教育与社会培训等情况。</w:t>
            </w:r>
          </w:p>
        </w:tc>
        <w:tc>
          <w:tcPr>
            <w:tcW w:w="1444" w:type="dxa"/>
            <w:shd w:val="clear" w:color="auto" w:fill="auto"/>
            <w:noWrap/>
            <w:vAlign w:val="center"/>
          </w:tcPr>
          <w:p w14:paraId="642BD51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0</w:t>
            </w:r>
            <w:r>
              <w:rPr>
                <w:rFonts w:hint="eastAsia" w:ascii="仿宋_GB2312" w:hAnsi="等线" w:eastAsia="仿宋_GB2312" w:cs="宋体"/>
                <w:color w:val="000000"/>
                <w:kern w:val="0"/>
                <w:sz w:val="24"/>
                <w:highlight w:val="none"/>
              </w:rPr>
              <w:t>00</w:t>
            </w:r>
          </w:p>
        </w:tc>
        <w:tc>
          <w:tcPr>
            <w:tcW w:w="1677" w:type="dxa"/>
            <w:shd w:val="clear" w:color="auto" w:fill="auto"/>
            <w:noWrap/>
            <w:vAlign w:val="center"/>
          </w:tcPr>
          <w:p w14:paraId="3D42739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p w14:paraId="4BA5899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现代教育技术中心</w:t>
            </w:r>
          </w:p>
        </w:tc>
      </w:tr>
      <w:tr w14:paraId="189F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15" w:type="dxa"/>
            <w:vMerge w:val="continue"/>
            <w:vAlign w:val="center"/>
          </w:tcPr>
          <w:p w14:paraId="2372B07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shd w:val="clear" w:color="auto" w:fill="auto"/>
            <w:noWrap/>
            <w:vAlign w:val="center"/>
          </w:tcPr>
          <w:p w14:paraId="3BBCFEA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3</w:t>
            </w:r>
            <w:r>
              <w:rPr>
                <w:rFonts w:hint="eastAsia" w:ascii="仿宋_GB2312" w:hAnsi="等线" w:eastAsia="仿宋_GB2312" w:cs="宋体"/>
                <w:color w:val="000000"/>
                <w:kern w:val="0"/>
                <w:sz w:val="24"/>
                <w:highlight w:val="none"/>
              </w:rPr>
              <w:t>.3服务乡村振兴</w:t>
            </w:r>
          </w:p>
        </w:tc>
        <w:tc>
          <w:tcPr>
            <w:tcW w:w="2572" w:type="dxa"/>
            <w:shd w:val="clear" w:color="auto" w:fill="auto"/>
            <w:noWrap/>
            <w:vAlign w:val="center"/>
          </w:tcPr>
          <w:p w14:paraId="5B7A3F9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6069" w:type="dxa"/>
            <w:shd w:val="clear" w:color="auto" w:fill="auto"/>
            <w:vAlign w:val="center"/>
          </w:tcPr>
          <w:p w14:paraId="655CFF2B">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kern w:val="0"/>
                <w:sz w:val="24"/>
                <w:highlight w:val="none"/>
              </w:rPr>
            </w:pPr>
            <w:r>
              <w:rPr>
                <w:rFonts w:hint="eastAsia" w:ascii="仿宋_GB2312" w:hAnsi="等线" w:eastAsia="仿宋_GB2312" w:cs="宋体"/>
                <w:color w:val="000000"/>
                <w:kern w:val="0"/>
                <w:sz w:val="24"/>
                <w:highlight w:val="none"/>
              </w:rPr>
              <w:t>服务新型城镇化与乡村振兴。</w:t>
            </w:r>
          </w:p>
        </w:tc>
        <w:tc>
          <w:tcPr>
            <w:tcW w:w="1444" w:type="dxa"/>
            <w:shd w:val="clear" w:color="auto" w:fill="auto"/>
            <w:noWrap/>
            <w:vAlign w:val="center"/>
          </w:tcPr>
          <w:p w14:paraId="4111DED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1000</w:t>
            </w:r>
          </w:p>
        </w:tc>
        <w:tc>
          <w:tcPr>
            <w:tcW w:w="1677" w:type="dxa"/>
            <w:shd w:val="clear" w:color="auto" w:fill="auto"/>
            <w:noWrap/>
            <w:vAlign w:val="center"/>
          </w:tcPr>
          <w:p w14:paraId="65F5088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lang w:val="en-US" w:eastAsia="zh-CN"/>
              </w:rPr>
              <w:t>办公室</w:t>
            </w:r>
          </w:p>
        </w:tc>
      </w:tr>
      <w:tr w14:paraId="29EA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15" w:type="dxa"/>
            <w:vMerge w:val="restart"/>
            <w:shd w:val="clear" w:color="auto" w:fill="auto"/>
            <w:noWrap/>
            <w:vAlign w:val="center"/>
          </w:tcPr>
          <w:p w14:paraId="4FA1A75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4.文化传承</w:t>
            </w:r>
          </w:p>
        </w:tc>
        <w:tc>
          <w:tcPr>
            <w:tcW w:w="2564" w:type="dxa"/>
            <w:shd w:val="clear" w:color="auto" w:fill="auto"/>
            <w:noWrap/>
            <w:vAlign w:val="center"/>
          </w:tcPr>
          <w:p w14:paraId="6E612F8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4.1校园文化</w:t>
            </w:r>
          </w:p>
        </w:tc>
        <w:tc>
          <w:tcPr>
            <w:tcW w:w="2572" w:type="dxa"/>
            <w:shd w:val="clear" w:color="auto" w:fill="auto"/>
            <w:noWrap/>
            <w:vAlign w:val="center"/>
          </w:tcPr>
          <w:p w14:paraId="6BEB018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6069" w:type="dxa"/>
            <w:shd w:val="clear" w:color="auto" w:fill="auto"/>
            <w:vAlign w:val="center"/>
          </w:tcPr>
          <w:p w14:paraId="75642B7B">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kern w:val="0"/>
                <w:sz w:val="24"/>
                <w:highlight w:val="none"/>
              </w:rPr>
            </w:pPr>
            <w:r>
              <w:rPr>
                <w:rFonts w:hint="eastAsia" w:ascii="仿宋_GB2312" w:hAnsi="等线" w:eastAsia="仿宋_GB2312" w:cs="宋体"/>
                <w:color w:val="000000"/>
                <w:kern w:val="0"/>
                <w:sz w:val="24"/>
                <w:highlight w:val="none"/>
                <w:lang w:val="en-US" w:eastAsia="zh-CN"/>
              </w:rPr>
              <w:t>概述</w:t>
            </w:r>
            <w:r>
              <w:rPr>
                <w:rFonts w:hint="eastAsia" w:ascii="仿宋_GB2312" w:hAnsi="等线" w:eastAsia="仿宋_GB2312" w:cs="宋体"/>
                <w:color w:val="000000"/>
                <w:kern w:val="0"/>
                <w:sz w:val="24"/>
                <w:highlight w:val="none"/>
              </w:rPr>
              <w:t>校园文化建设</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lang w:val="en-US" w:eastAsia="zh-CN"/>
              </w:rPr>
              <w:t>场馆文化建设、校园文化传承等方面的建设情况。</w:t>
            </w:r>
          </w:p>
        </w:tc>
        <w:tc>
          <w:tcPr>
            <w:tcW w:w="1444" w:type="dxa"/>
            <w:vMerge w:val="restart"/>
            <w:shd w:val="clear" w:color="auto" w:fill="auto"/>
            <w:vAlign w:val="center"/>
          </w:tcPr>
          <w:p w14:paraId="28A5D7D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1000</w:t>
            </w:r>
          </w:p>
        </w:tc>
        <w:tc>
          <w:tcPr>
            <w:tcW w:w="1677" w:type="dxa"/>
            <w:vMerge w:val="restart"/>
            <w:shd w:val="clear" w:color="auto" w:fill="auto"/>
            <w:vAlign w:val="center"/>
          </w:tcPr>
          <w:p w14:paraId="4D8008E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党委宣传部</w:t>
            </w:r>
          </w:p>
        </w:tc>
      </w:tr>
      <w:tr w14:paraId="66A4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15" w:type="dxa"/>
            <w:vMerge w:val="continue"/>
            <w:shd w:val="clear" w:color="auto" w:fill="auto"/>
            <w:noWrap/>
            <w:vAlign w:val="center"/>
          </w:tcPr>
          <w:p w14:paraId="0BC03FD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2564" w:type="dxa"/>
            <w:shd w:val="clear" w:color="auto" w:fill="auto"/>
            <w:noWrap/>
            <w:vAlign w:val="center"/>
          </w:tcPr>
          <w:p w14:paraId="18DF40F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4.2红色革命文化</w:t>
            </w:r>
          </w:p>
        </w:tc>
        <w:tc>
          <w:tcPr>
            <w:tcW w:w="2572" w:type="dxa"/>
            <w:vMerge w:val="restart"/>
            <w:shd w:val="clear" w:color="auto" w:fill="auto"/>
            <w:noWrap/>
            <w:vAlign w:val="center"/>
          </w:tcPr>
          <w:p w14:paraId="3539266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6069" w:type="dxa"/>
            <w:vMerge w:val="restart"/>
            <w:shd w:val="clear" w:color="auto" w:fill="auto"/>
            <w:vAlign w:val="center"/>
          </w:tcPr>
          <w:p w14:paraId="2389C4F6">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kern w:val="0"/>
                <w:sz w:val="24"/>
                <w:highlight w:val="none"/>
                <w:lang w:val="en-US" w:eastAsia="zh-CN"/>
              </w:rPr>
            </w:pPr>
            <w:r>
              <w:rPr>
                <w:rFonts w:hint="eastAsia" w:ascii="仿宋_GB2312" w:hAnsi="等线" w:eastAsia="仿宋_GB2312" w:cs="宋体"/>
                <w:kern w:val="0"/>
                <w:sz w:val="24"/>
                <w:highlight w:val="none"/>
                <w:lang w:val="en-US" w:eastAsia="zh-CN"/>
              </w:rPr>
              <w:t>做法、特色及成效</w:t>
            </w:r>
          </w:p>
        </w:tc>
        <w:tc>
          <w:tcPr>
            <w:tcW w:w="1444" w:type="dxa"/>
            <w:vMerge w:val="continue"/>
            <w:shd w:val="clear" w:color="auto" w:fill="auto"/>
            <w:vAlign w:val="center"/>
          </w:tcPr>
          <w:p w14:paraId="71C1163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1677" w:type="dxa"/>
            <w:vMerge w:val="continue"/>
            <w:shd w:val="clear" w:color="auto" w:fill="auto"/>
            <w:vAlign w:val="center"/>
          </w:tcPr>
          <w:p w14:paraId="7C06AE9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r>
      <w:tr w14:paraId="394A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15" w:type="dxa"/>
            <w:vMerge w:val="continue"/>
            <w:shd w:val="clear" w:color="auto" w:fill="auto"/>
            <w:noWrap/>
            <w:vAlign w:val="center"/>
          </w:tcPr>
          <w:p w14:paraId="63BF8F3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2564" w:type="dxa"/>
            <w:shd w:val="clear" w:color="auto" w:fill="auto"/>
            <w:noWrap/>
            <w:vAlign w:val="center"/>
          </w:tcPr>
          <w:p w14:paraId="2F94BED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4.3优秀传统文化</w:t>
            </w:r>
          </w:p>
        </w:tc>
        <w:tc>
          <w:tcPr>
            <w:tcW w:w="2572" w:type="dxa"/>
            <w:vMerge w:val="continue"/>
            <w:shd w:val="clear" w:color="auto" w:fill="auto"/>
            <w:noWrap/>
            <w:vAlign w:val="center"/>
          </w:tcPr>
          <w:p w14:paraId="38EEBEF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6069" w:type="dxa"/>
            <w:vMerge w:val="continue"/>
            <w:shd w:val="clear" w:color="auto" w:fill="auto"/>
            <w:vAlign w:val="center"/>
          </w:tcPr>
          <w:p w14:paraId="1E2121A7">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kern w:val="0"/>
                <w:sz w:val="24"/>
                <w:highlight w:val="none"/>
              </w:rPr>
            </w:pPr>
          </w:p>
        </w:tc>
        <w:tc>
          <w:tcPr>
            <w:tcW w:w="1444" w:type="dxa"/>
            <w:vMerge w:val="continue"/>
            <w:shd w:val="clear" w:color="auto" w:fill="auto"/>
            <w:vAlign w:val="center"/>
          </w:tcPr>
          <w:p w14:paraId="4ECAFC5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1677" w:type="dxa"/>
            <w:vMerge w:val="continue"/>
            <w:shd w:val="clear" w:color="auto" w:fill="auto"/>
            <w:vAlign w:val="center"/>
          </w:tcPr>
          <w:p w14:paraId="522E550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r>
      <w:tr w14:paraId="1811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15" w:type="dxa"/>
            <w:vMerge w:val="continue"/>
            <w:shd w:val="clear" w:color="auto" w:fill="auto"/>
            <w:noWrap/>
            <w:vAlign w:val="center"/>
          </w:tcPr>
          <w:p w14:paraId="7CDD394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2564" w:type="dxa"/>
            <w:shd w:val="clear" w:color="auto" w:fill="auto"/>
            <w:noWrap/>
            <w:vAlign w:val="center"/>
          </w:tcPr>
          <w:p w14:paraId="67F894E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4.4现代企业文化</w:t>
            </w:r>
          </w:p>
        </w:tc>
        <w:tc>
          <w:tcPr>
            <w:tcW w:w="2572" w:type="dxa"/>
            <w:vMerge w:val="continue"/>
            <w:shd w:val="clear" w:color="auto" w:fill="auto"/>
            <w:noWrap/>
            <w:vAlign w:val="center"/>
          </w:tcPr>
          <w:p w14:paraId="2EFB7AB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6069" w:type="dxa"/>
            <w:vMerge w:val="continue"/>
            <w:shd w:val="clear" w:color="auto" w:fill="auto"/>
            <w:vAlign w:val="center"/>
          </w:tcPr>
          <w:p w14:paraId="5399F374">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kern w:val="0"/>
                <w:sz w:val="24"/>
                <w:highlight w:val="none"/>
              </w:rPr>
            </w:pPr>
          </w:p>
        </w:tc>
        <w:tc>
          <w:tcPr>
            <w:tcW w:w="1444" w:type="dxa"/>
            <w:vMerge w:val="continue"/>
            <w:shd w:val="clear" w:color="auto" w:fill="auto"/>
            <w:vAlign w:val="center"/>
          </w:tcPr>
          <w:p w14:paraId="0AD5B0D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1677" w:type="dxa"/>
            <w:vMerge w:val="continue"/>
            <w:shd w:val="clear" w:color="auto" w:fill="auto"/>
            <w:vAlign w:val="center"/>
          </w:tcPr>
          <w:p w14:paraId="4F32D65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r>
      <w:tr w14:paraId="5AED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515" w:type="dxa"/>
            <w:vMerge w:val="continue"/>
            <w:shd w:val="clear" w:color="auto" w:fill="auto"/>
            <w:noWrap/>
            <w:vAlign w:val="center"/>
          </w:tcPr>
          <w:p w14:paraId="048DF23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2564" w:type="dxa"/>
            <w:shd w:val="clear" w:color="auto" w:fill="auto"/>
            <w:noWrap/>
            <w:vAlign w:val="center"/>
          </w:tcPr>
          <w:p w14:paraId="6455D48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4.5区域名人文化</w:t>
            </w:r>
          </w:p>
        </w:tc>
        <w:tc>
          <w:tcPr>
            <w:tcW w:w="2572" w:type="dxa"/>
            <w:vMerge w:val="continue"/>
            <w:shd w:val="clear" w:color="auto" w:fill="auto"/>
            <w:noWrap/>
            <w:vAlign w:val="center"/>
          </w:tcPr>
          <w:p w14:paraId="755D23F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6069" w:type="dxa"/>
            <w:vMerge w:val="continue"/>
            <w:shd w:val="clear" w:color="auto" w:fill="auto"/>
            <w:vAlign w:val="center"/>
          </w:tcPr>
          <w:p w14:paraId="58A2A7C8">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kern w:val="0"/>
                <w:sz w:val="24"/>
                <w:highlight w:val="none"/>
              </w:rPr>
            </w:pPr>
          </w:p>
        </w:tc>
        <w:tc>
          <w:tcPr>
            <w:tcW w:w="1444" w:type="dxa"/>
            <w:vMerge w:val="continue"/>
            <w:shd w:val="clear" w:color="auto" w:fill="auto"/>
            <w:vAlign w:val="center"/>
          </w:tcPr>
          <w:p w14:paraId="4F239EB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1677" w:type="dxa"/>
            <w:vMerge w:val="continue"/>
            <w:shd w:val="clear" w:color="auto" w:fill="auto"/>
            <w:vAlign w:val="center"/>
          </w:tcPr>
          <w:p w14:paraId="096A436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r>
      <w:tr w14:paraId="029F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15" w:type="dxa"/>
            <w:vMerge w:val="restart"/>
            <w:shd w:val="clear" w:color="auto" w:fill="auto"/>
            <w:noWrap/>
            <w:vAlign w:val="center"/>
          </w:tcPr>
          <w:p w14:paraId="09794A6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5.</w:t>
            </w:r>
            <w:r>
              <w:rPr>
                <w:rFonts w:hint="eastAsia" w:ascii="仿宋_GB2312" w:hAnsi="等线" w:eastAsia="仿宋_GB2312" w:cs="宋体"/>
                <w:color w:val="000000"/>
                <w:kern w:val="0"/>
                <w:sz w:val="24"/>
                <w:highlight w:val="none"/>
              </w:rPr>
              <w:t>国际合作</w:t>
            </w:r>
          </w:p>
        </w:tc>
        <w:tc>
          <w:tcPr>
            <w:tcW w:w="2564" w:type="dxa"/>
            <w:shd w:val="clear" w:color="auto" w:fill="auto"/>
            <w:noWrap/>
            <w:vAlign w:val="center"/>
          </w:tcPr>
          <w:p w14:paraId="624DE92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5</w:t>
            </w: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留学生培养</w:t>
            </w:r>
          </w:p>
        </w:tc>
        <w:tc>
          <w:tcPr>
            <w:tcW w:w="2572" w:type="dxa"/>
            <w:vMerge w:val="restart"/>
            <w:shd w:val="clear" w:color="auto" w:fill="auto"/>
            <w:noWrap/>
            <w:vAlign w:val="center"/>
          </w:tcPr>
          <w:p w14:paraId="79DEB5C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6069" w:type="dxa"/>
            <w:shd w:val="clear" w:color="auto" w:fill="auto"/>
            <w:vAlign w:val="center"/>
          </w:tcPr>
          <w:p w14:paraId="5E38966B">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kern w:val="0"/>
                <w:sz w:val="24"/>
                <w:highlight w:val="none"/>
                <w:lang w:val="en-US" w:eastAsia="zh-CN"/>
              </w:rPr>
            </w:pPr>
            <w:r>
              <w:rPr>
                <w:rFonts w:hint="eastAsia" w:ascii="仿宋_GB2312" w:hAnsi="等线" w:eastAsia="仿宋_GB2312" w:cs="宋体"/>
                <w:kern w:val="0"/>
                <w:sz w:val="24"/>
                <w:highlight w:val="none"/>
                <w:lang w:val="en-US" w:eastAsia="zh-CN"/>
              </w:rPr>
              <w:t>概述</w:t>
            </w:r>
            <w:r>
              <w:rPr>
                <w:rFonts w:hint="eastAsia" w:ascii="仿宋_GB2312" w:hAnsi="等线" w:eastAsia="仿宋_GB2312" w:cs="宋体"/>
                <w:kern w:val="0"/>
                <w:sz w:val="24"/>
                <w:highlight w:val="none"/>
              </w:rPr>
              <w:t>：</w:t>
            </w:r>
            <w:r>
              <w:rPr>
                <w:rFonts w:hint="eastAsia" w:ascii="仿宋_GB2312" w:hAnsi="等线" w:eastAsia="仿宋_GB2312" w:cs="宋体"/>
                <w:kern w:val="0"/>
                <w:sz w:val="24"/>
                <w:highlight w:val="none"/>
                <w:lang w:val="en-US" w:eastAsia="zh-CN"/>
              </w:rPr>
              <w:t>培养机制、培养情况及成效。</w:t>
            </w:r>
          </w:p>
        </w:tc>
        <w:tc>
          <w:tcPr>
            <w:tcW w:w="1444" w:type="dxa"/>
            <w:vMerge w:val="restart"/>
            <w:shd w:val="clear" w:color="auto" w:fill="auto"/>
            <w:vAlign w:val="center"/>
          </w:tcPr>
          <w:p w14:paraId="29BF8AA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1500</w:t>
            </w:r>
          </w:p>
        </w:tc>
        <w:tc>
          <w:tcPr>
            <w:tcW w:w="1677" w:type="dxa"/>
            <w:vMerge w:val="restart"/>
            <w:shd w:val="clear" w:color="auto" w:fill="auto"/>
            <w:vAlign w:val="center"/>
          </w:tcPr>
          <w:p w14:paraId="16FDE51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国际交流中心</w:t>
            </w:r>
          </w:p>
        </w:tc>
      </w:tr>
      <w:tr w14:paraId="527C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15" w:type="dxa"/>
            <w:vMerge w:val="continue"/>
            <w:vAlign w:val="center"/>
          </w:tcPr>
          <w:p w14:paraId="65563FB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shd w:val="clear" w:color="auto" w:fill="auto"/>
            <w:noWrap/>
            <w:vAlign w:val="center"/>
          </w:tcPr>
          <w:p w14:paraId="23AD85F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5</w:t>
            </w:r>
            <w:r>
              <w:rPr>
                <w:rFonts w:hint="eastAsia" w:ascii="仿宋_GB2312" w:hAnsi="等线" w:eastAsia="仿宋_GB2312" w:cs="宋体"/>
                <w:color w:val="000000"/>
                <w:kern w:val="0"/>
                <w:sz w:val="24"/>
                <w:highlight w:val="none"/>
              </w:rPr>
              <w:t>.2合作办学</w:t>
            </w:r>
          </w:p>
        </w:tc>
        <w:tc>
          <w:tcPr>
            <w:tcW w:w="2572" w:type="dxa"/>
            <w:vMerge w:val="continue"/>
            <w:shd w:val="clear" w:color="auto" w:fill="auto"/>
            <w:noWrap/>
            <w:vAlign w:val="center"/>
          </w:tcPr>
          <w:p w14:paraId="5214DFE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6069" w:type="dxa"/>
            <w:vAlign w:val="center"/>
          </w:tcPr>
          <w:p w14:paraId="671A385B">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kern w:val="0"/>
                <w:sz w:val="24"/>
                <w:highlight w:val="none"/>
              </w:rPr>
            </w:pPr>
            <w:r>
              <w:rPr>
                <w:rFonts w:hint="eastAsia" w:ascii="仿宋_GB2312" w:hAnsi="等线" w:eastAsia="仿宋_GB2312" w:cs="宋体"/>
                <w:kern w:val="0"/>
                <w:sz w:val="24"/>
                <w:highlight w:val="none"/>
                <w:lang w:val="en-US" w:eastAsia="zh-CN"/>
              </w:rPr>
              <w:t>概述</w:t>
            </w:r>
            <w:r>
              <w:rPr>
                <w:rFonts w:hint="eastAsia" w:ascii="仿宋_GB2312" w:hAnsi="等线" w:eastAsia="仿宋_GB2312" w:cs="宋体"/>
                <w:kern w:val="0"/>
                <w:sz w:val="24"/>
                <w:highlight w:val="none"/>
              </w:rPr>
              <w:t>：</w:t>
            </w:r>
            <w:r>
              <w:rPr>
                <w:rFonts w:hint="eastAsia" w:ascii="仿宋_GB2312" w:hAnsi="等线" w:eastAsia="仿宋_GB2312" w:cs="宋体"/>
                <w:kern w:val="0"/>
                <w:sz w:val="24"/>
                <w:highlight w:val="none"/>
                <w:lang w:val="en-US" w:eastAsia="zh-CN"/>
              </w:rPr>
              <w:t>国际合作交流（包括合作办学、留学招生、国际交流、国际认证、引进国际标准等）等方面。</w:t>
            </w:r>
          </w:p>
        </w:tc>
        <w:tc>
          <w:tcPr>
            <w:tcW w:w="1444" w:type="dxa"/>
            <w:vMerge w:val="continue"/>
            <w:vAlign w:val="center"/>
          </w:tcPr>
          <w:p w14:paraId="02A1AFD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Merge w:val="continue"/>
            <w:vAlign w:val="center"/>
          </w:tcPr>
          <w:p w14:paraId="56852AE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3088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15" w:type="dxa"/>
            <w:vMerge w:val="continue"/>
            <w:vAlign w:val="center"/>
          </w:tcPr>
          <w:p w14:paraId="7628A9A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shd w:val="clear" w:color="auto" w:fill="auto"/>
            <w:noWrap/>
            <w:vAlign w:val="center"/>
          </w:tcPr>
          <w:p w14:paraId="41B0055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5</w:t>
            </w:r>
            <w:r>
              <w:rPr>
                <w:rFonts w:hint="eastAsia" w:ascii="仿宋_GB2312" w:hAnsi="等线" w:eastAsia="仿宋_GB2312" w:cs="宋体"/>
                <w:color w:val="000000"/>
                <w:kern w:val="0"/>
                <w:sz w:val="24"/>
                <w:highlight w:val="none"/>
              </w:rPr>
              <w:t>.3</w:t>
            </w:r>
            <w:r>
              <w:rPr>
                <w:rFonts w:hint="eastAsia" w:ascii="仿宋_GB2312" w:hAnsi="等线" w:eastAsia="仿宋_GB2312" w:cs="宋体"/>
                <w:color w:val="000000"/>
                <w:kern w:val="0"/>
                <w:sz w:val="24"/>
                <w:highlight w:val="none"/>
                <w:lang w:val="en-US" w:eastAsia="zh-CN"/>
              </w:rPr>
              <w:t>开发标准</w:t>
            </w:r>
          </w:p>
        </w:tc>
        <w:tc>
          <w:tcPr>
            <w:tcW w:w="2572" w:type="dxa"/>
            <w:vMerge w:val="continue"/>
            <w:shd w:val="clear" w:color="auto" w:fill="auto"/>
            <w:noWrap/>
            <w:vAlign w:val="center"/>
          </w:tcPr>
          <w:p w14:paraId="2508671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6069" w:type="dxa"/>
            <w:vAlign w:val="center"/>
          </w:tcPr>
          <w:p w14:paraId="424F7D0E">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kern w:val="0"/>
                <w:sz w:val="24"/>
                <w:highlight w:val="none"/>
              </w:rPr>
            </w:pPr>
            <w:r>
              <w:rPr>
                <w:rFonts w:hint="eastAsia" w:ascii="仿宋_GB2312" w:hAnsi="等线" w:eastAsia="仿宋_GB2312" w:cs="宋体"/>
                <w:kern w:val="0"/>
                <w:sz w:val="24"/>
                <w:highlight w:val="none"/>
                <w:lang w:val="en-US" w:eastAsia="zh-CN"/>
              </w:rPr>
              <w:t>概述</w:t>
            </w:r>
            <w:r>
              <w:rPr>
                <w:rFonts w:hint="eastAsia" w:ascii="仿宋_GB2312" w:hAnsi="等线" w:eastAsia="仿宋_GB2312" w:cs="宋体"/>
                <w:kern w:val="0"/>
                <w:sz w:val="24"/>
                <w:highlight w:val="none"/>
              </w:rPr>
              <w:t>：</w:t>
            </w:r>
            <w:r>
              <w:rPr>
                <w:rFonts w:hint="eastAsia" w:ascii="仿宋_GB2312" w:hAnsi="等线" w:eastAsia="仿宋_GB2312" w:cs="宋体"/>
                <w:kern w:val="0"/>
                <w:sz w:val="24"/>
                <w:highlight w:val="none"/>
                <w:lang w:val="en-US" w:eastAsia="zh-CN"/>
              </w:rPr>
              <w:t>学校主持或参与开发与本校重点专业相关的课程标准，并得到国（境）外同行采用的情况。</w:t>
            </w:r>
          </w:p>
        </w:tc>
        <w:tc>
          <w:tcPr>
            <w:tcW w:w="1444" w:type="dxa"/>
            <w:vMerge w:val="continue"/>
            <w:vAlign w:val="center"/>
          </w:tcPr>
          <w:p w14:paraId="18149D4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Merge w:val="continue"/>
            <w:vAlign w:val="center"/>
          </w:tcPr>
          <w:p w14:paraId="76367F3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5FC3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515" w:type="dxa"/>
            <w:vMerge w:val="continue"/>
            <w:vAlign w:val="center"/>
          </w:tcPr>
          <w:p w14:paraId="453568A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shd w:val="clear" w:color="auto" w:fill="auto"/>
            <w:noWrap/>
            <w:vAlign w:val="center"/>
          </w:tcPr>
          <w:p w14:paraId="7B537DA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5</w:t>
            </w:r>
            <w:r>
              <w:rPr>
                <w:rFonts w:hint="eastAsia" w:ascii="仿宋_GB2312" w:hAnsi="等线" w:eastAsia="仿宋_GB2312" w:cs="宋体"/>
                <w:color w:val="000000"/>
                <w:kern w:val="0"/>
                <w:sz w:val="24"/>
                <w:highlight w:val="none"/>
              </w:rPr>
              <w:t>.4鲁班工坊</w:t>
            </w:r>
          </w:p>
        </w:tc>
        <w:tc>
          <w:tcPr>
            <w:tcW w:w="2572" w:type="dxa"/>
            <w:vMerge w:val="continue"/>
            <w:shd w:val="clear" w:color="auto" w:fill="auto"/>
            <w:noWrap/>
            <w:vAlign w:val="center"/>
          </w:tcPr>
          <w:p w14:paraId="680D1F3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6069" w:type="dxa"/>
            <w:vAlign w:val="center"/>
          </w:tcPr>
          <w:p w14:paraId="12509622">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kern w:val="0"/>
                <w:sz w:val="24"/>
                <w:highlight w:val="none"/>
                <w:lang w:val="en-US" w:eastAsia="zh-CN"/>
              </w:rPr>
            </w:pPr>
            <w:r>
              <w:rPr>
                <w:rFonts w:hint="eastAsia" w:ascii="仿宋_GB2312" w:hAnsi="等线" w:eastAsia="仿宋_GB2312" w:cs="宋体"/>
                <w:kern w:val="0"/>
                <w:sz w:val="24"/>
                <w:highlight w:val="none"/>
                <w:lang w:val="en-US" w:eastAsia="zh-CN"/>
              </w:rPr>
              <w:t>概述</w:t>
            </w:r>
            <w:r>
              <w:rPr>
                <w:rFonts w:hint="eastAsia" w:ascii="仿宋_GB2312" w:hAnsi="等线" w:eastAsia="仿宋_GB2312" w:cs="宋体"/>
                <w:kern w:val="0"/>
                <w:sz w:val="24"/>
                <w:highlight w:val="none"/>
              </w:rPr>
              <w:t>：</w:t>
            </w:r>
            <w:r>
              <w:rPr>
                <w:rFonts w:hint="eastAsia" w:ascii="仿宋_GB2312" w:hAnsi="等线" w:eastAsia="仿宋_GB2312" w:cs="宋体"/>
                <w:color w:val="000000"/>
                <w:kern w:val="0"/>
                <w:sz w:val="24"/>
                <w:highlight w:val="none"/>
              </w:rPr>
              <w:t>鲁班工坊</w:t>
            </w:r>
            <w:r>
              <w:rPr>
                <w:rFonts w:hint="eastAsia" w:ascii="仿宋_GB2312" w:hAnsi="等线" w:eastAsia="仿宋_GB2312" w:cs="宋体"/>
                <w:color w:val="000000"/>
                <w:kern w:val="0"/>
                <w:sz w:val="24"/>
                <w:highlight w:val="none"/>
                <w:lang w:val="en-US" w:eastAsia="zh-CN"/>
              </w:rPr>
              <w:t>建设情况、特色做法及成效。</w:t>
            </w:r>
          </w:p>
        </w:tc>
        <w:tc>
          <w:tcPr>
            <w:tcW w:w="1444" w:type="dxa"/>
            <w:vMerge w:val="continue"/>
            <w:vAlign w:val="center"/>
          </w:tcPr>
          <w:p w14:paraId="7C4DD46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Merge w:val="continue"/>
            <w:vAlign w:val="center"/>
          </w:tcPr>
          <w:p w14:paraId="6F40A5F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5EA8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5" w:type="dxa"/>
            <w:vMerge w:val="continue"/>
            <w:vAlign w:val="center"/>
          </w:tcPr>
          <w:p w14:paraId="5BFD065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shd w:val="clear" w:color="auto" w:fill="auto"/>
            <w:noWrap/>
            <w:vAlign w:val="center"/>
          </w:tcPr>
          <w:p w14:paraId="04752F7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5.5助力“</w:t>
            </w:r>
            <w:r>
              <w:rPr>
                <w:rFonts w:hint="eastAsia" w:ascii="仿宋_GB2312" w:hAnsi="等线" w:eastAsia="仿宋_GB2312" w:cs="宋体"/>
                <w:color w:val="000000"/>
                <w:kern w:val="0"/>
                <w:sz w:val="24"/>
                <w:highlight w:val="none"/>
              </w:rPr>
              <w:t>一带一路</w:t>
            </w:r>
            <w:r>
              <w:rPr>
                <w:rFonts w:hint="eastAsia" w:ascii="仿宋_GB2312" w:hAnsi="等线" w:eastAsia="仿宋_GB2312" w:cs="宋体"/>
                <w:color w:val="000000"/>
                <w:kern w:val="0"/>
                <w:sz w:val="24"/>
                <w:highlight w:val="none"/>
                <w:lang w:val="en-US" w:eastAsia="zh-CN"/>
              </w:rPr>
              <w:t>”建设（援外培训等）</w:t>
            </w:r>
          </w:p>
        </w:tc>
        <w:tc>
          <w:tcPr>
            <w:tcW w:w="2572" w:type="dxa"/>
            <w:vMerge w:val="continue"/>
            <w:shd w:val="clear" w:color="auto" w:fill="auto"/>
            <w:noWrap/>
            <w:vAlign w:val="center"/>
          </w:tcPr>
          <w:p w14:paraId="4569A3C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6069" w:type="dxa"/>
            <w:vAlign w:val="center"/>
          </w:tcPr>
          <w:p w14:paraId="27652BFF">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kern w:val="0"/>
                <w:sz w:val="24"/>
                <w:highlight w:val="none"/>
              </w:rPr>
            </w:pPr>
            <w:r>
              <w:rPr>
                <w:rFonts w:hint="eastAsia" w:ascii="仿宋_GB2312" w:hAnsi="等线" w:eastAsia="仿宋_GB2312" w:cs="宋体"/>
                <w:kern w:val="0"/>
                <w:sz w:val="24"/>
                <w:highlight w:val="none"/>
                <w:lang w:val="en-US" w:eastAsia="zh-CN"/>
              </w:rPr>
              <w:t>概述</w:t>
            </w:r>
            <w:r>
              <w:rPr>
                <w:rFonts w:hint="eastAsia" w:ascii="仿宋_GB2312" w:hAnsi="等线" w:eastAsia="仿宋_GB2312" w:cs="宋体"/>
                <w:kern w:val="0"/>
                <w:sz w:val="24"/>
                <w:highlight w:val="none"/>
              </w:rPr>
              <w:t>：</w:t>
            </w:r>
            <w:r>
              <w:rPr>
                <w:rFonts w:hint="eastAsia" w:ascii="仿宋_GB2312" w:hAnsi="等线" w:eastAsia="仿宋_GB2312" w:cs="宋体"/>
                <w:kern w:val="0"/>
                <w:sz w:val="24"/>
                <w:highlight w:val="none"/>
                <w:lang w:val="en-US" w:eastAsia="zh-CN"/>
              </w:rPr>
              <w:t>学校服务“一带一路”建设情况。</w:t>
            </w:r>
          </w:p>
        </w:tc>
        <w:tc>
          <w:tcPr>
            <w:tcW w:w="1444" w:type="dxa"/>
            <w:vMerge w:val="continue"/>
            <w:vAlign w:val="center"/>
          </w:tcPr>
          <w:p w14:paraId="00FE26A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1677" w:type="dxa"/>
            <w:vMerge w:val="continue"/>
            <w:vAlign w:val="center"/>
          </w:tcPr>
          <w:p w14:paraId="7709F89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332A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15" w:type="dxa"/>
            <w:vMerge w:val="restart"/>
            <w:shd w:val="clear" w:color="auto" w:fill="auto"/>
            <w:noWrap/>
            <w:vAlign w:val="center"/>
          </w:tcPr>
          <w:p w14:paraId="7B18D78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6.产教融合</w:t>
            </w:r>
          </w:p>
        </w:tc>
        <w:tc>
          <w:tcPr>
            <w:tcW w:w="2564" w:type="dxa"/>
            <w:shd w:val="clear" w:color="auto" w:fill="auto"/>
            <w:noWrap/>
            <w:vAlign w:val="center"/>
          </w:tcPr>
          <w:p w14:paraId="6AF536D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6.1</w:t>
            </w:r>
            <w:r>
              <w:rPr>
                <w:rFonts w:hint="eastAsia" w:ascii="仿宋_GB2312" w:hAnsi="等线" w:eastAsia="仿宋_GB2312" w:cs="宋体"/>
                <w:color w:val="000000"/>
                <w:kern w:val="0"/>
                <w:sz w:val="24"/>
                <w:highlight w:val="none"/>
              </w:rPr>
              <w:t>校企合作办学情况</w:t>
            </w:r>
          </w:p>
        </w:tc>
        <w:tc>
          <w:tcPr>
            <w:tcW w:w="2572" w:type="dxa"/>
            <w:shd w:val="clear" w:color="auto" w:fill="auto"/>
            <w:noWrap/>
            <w:vAlign w:val="center"/>
          </w:tcPr>
          <w:p w14:paraId="5348D59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6069" w:type="dxa"/>
            <w:shd w:val="clear" w:color="auto" w:fill="auto"/>
            <w:vAlign w:val="center"/>
          </w:tcPr>
          <w:p w14:paraId="56AA0688">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概述：校企合作办学情况（学生实习、就业、校外实习实训基地建设、合作专业、课程、教材建设），特别是产教融合体制机制创新，</w:t>
            </w:r>
            <w:r>
              <w:rPr>
                <w:rFonts w:hint="eastAsia" w:ascii="仿宋_GB2312" w:hAnsi="等线" w:eastAsia="仿宋_GB2312" w:cs="宋体"/>
                <w:color w:val="000000"/>
                <w:kern w:val="0"/>
                <w:sz w:val="24"/>
                <w:highlight w:val="none"/>
                <w:lang w:val="en-US" w:eastAsia="zh-CN"/>
              </w:rPr>
              <w:t>产业学院、</w:t>
            </w:r>
            <w:r>
              <w:rPr>
                <w:rFonts w:hint="eastAsia" w:ascii="仿宋_GB2312" w:hAnsi="等线" w:eastAsia="仿宋_GB2312" w:cs="宋体"/>
                <w:color w:val="000000"/>
                <w:kern w:val="0"/>
                <w:sz w:val="24"/>
                <w:highlight w:val="none"/>
              </w:rPr>
              <w:t>省</w:t>
            </w:r>
            <w:r>
              <w:rPr>
                <w:rFonts w:hint="eastAsia" w:ascii="仿宋_GB2312" w:hAnsi="等线" w:eastAsia="仿宋_GB2312" w:cs="宋体"/>
                <w:color w:val="000000"/>
                <w:kern w:val="0"/>
                <w:sz w:val="24"/>
                <w:highlight w:val="none"/>
                <w:lang w:val="en-US" w:eastAsia="zh-CN"/>
              </w:rPr>
              <w:t>及</w:t>
            </w:r>
            <w:r>
              <w:rPr>
                <w:rFonts w:hint="eastAsia" w:ascii="仿宋_GB2312" w:hAnsi="等线" w:eastAsia="仿宋_GB2312" w:cs="宋体"/>
                <w:color w:val="000000"/>
                <w:kern w:val="0"/>
                <w:sz w:val="24"/>
                <w:highlight w:val="none"/>
              </w:rPr>
              <w:t>市域产教融合体建设</w:t>
            </w:r>
            <w:r>
              <w:rPr>
                <w:rFonts w:hint="eastAsia" w:ascii="仿宋_GB2312" w:hAnsi="等线" w:eastAsia="仿宋_GB2312" w:cs="宋体"/>
                <w:color w:val="000000"/>
                <w:kern w:val="0"/>
                <w:sz w:val="24"/>
                <w:highlight w:val="none"/>
                <w:lang w:val="en-US" w:eastAsia="zh-CN"/>
              </w:rPr>
              <w:t>等</w:t>
            </w:r>
            <w:r>
              <w:rPr>
                <w:rFonts w:hint="eastAsia" w:ascii="仿宋_GB2312" w:hAnsi="等线" w:eastAsia="仿宋_GB2312" w:cs="宋体"/>
                <w:color w:val="000000"/>
                <w:kern w:val="0"/>
                <w:sz w:val="24"/>
                <w:highlight w:val="none"/>
              </w:rPr>
              <w:t>。</w:t>
            </w:r>
          </w:p>
        </w:tc>
        <w:tc>
          <w:tcPr>
            <w:tcW w:w="1444" w:type="dxa"/>
            <w:vMerge w:val="restart"/>
            <w:shd w:val="clear" w:color="auto" w:fill="auto"/>
            <w:noWrap/>
            <w:vAlign w:val="center"/>
          </w:tcPr>
          <w:p w14:paraId="0317B71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1000</w:t>
            </w:r>
          </w:p>
        </w:tc>
        <w:tc>
          <w:tcPr>
            <w:tcW w:w="1677" w:type="dxa"/>
            <w:vMerge w:val="restart"/>
            <w:shd w:val="clear" w:color="auto" w:fill="auto"/>
            <w:noWrap/>
            <w:vAlign w:val="center"/>
          </w:tcPr>
          <w:p w14:paraId="758A1A4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教务处</w:t>
            </w:r>
          </w:p>
        </w:tc>
      </w:tr>
      <w:tr w14:paraId="2E56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5" w:type="dxa"/>
            <w:vMerge w:val="continue"/>
            <w:shd w:val="clear" w:color="auto" w:fill="auto"/>
            <w:noWrap/>
            <w:vAlign w:val="center"/>
          </w:tcPr>
          <w:p w14:paraId="1D59C926">
            <w:pPr>
              <w:keepNext w:val="0"/>
              <w:keepLines w:val="0"/>
              <w:pageBreakBefore w:val="0"/>
              <w:widowControl/>
              <w:kinsoku/>
              <w:wordWrap/>
              <w:overflowPunct/>
              <w:topLinePunct w:val="0"/>
              <w:autoSpaceDE/>
              <w:autoSpaceDN/>
              <w:bidi w:val="0"/>
              <w:adjustRightInd/>
              <w:snapToGrid/>
              <w:spacing w:line="350" w:lineRule="exact"/>
              <w:jc w:val="center"/>
              <w:textAlignment w:val="auto"/>
              <w:rPr>
                <w:highlight w:val="none"/>
              </w:rPr>
            </w:pPr>
          </w:p>
        </w:tc>
        <w:tc>
          <w:tcPr>
            <w:tcW w:w="2564" w:type="dxa"/>
            <w:shd w:val="clear" w:color="auto" w:fill="auto"/>
            <w:noWrap/>
            <w:vAlign w:val="center"/>
          </w:tcPr>
          <w:p w14:paraId="0C009B81">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6.2中国特色学徒制</w:t>
            </w:r>
          </w:p>
        </w:tc>
        <w:tc>
          <w:tcPr>
            <w:tcW w:w="2572" w:type="dxa"/>
            <w:shd w:val="clear" w:color="auto" w:fill="auto"/>
            <w:noWrap/>
            <w:vAlign w:val="center"/>
          </w:tcPr>
          <w:p w14:paraId="0832FFC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6069" w:type="dxa"/>
            <w:vMerge w:val="restart"/>
            <w:shd w:val="clear" w:color="auto" w:fill="auto"/>
            <w:vAlign w:val="center"/>
          </w:tcPr>
          <w:p w14:paraId="11B8A9E9">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概述特色做法及成效</w:t>
            </w:r>
          </w:p>
        </w:tc>
        <w:tc>
          <w:tcPr>
            <w:tcW w:w="1444" w:type="dxa"/>
            <w:vMerge w:val="continue"/>
            <w:shd w:val="clear" w:color="auto" w:fill="auto"/>
            <w:noWrap/>
            <w:vAlign w:val="center"/>
          </w:tcPr>
          <w:p w14:paraId="004A636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1677" w:type="dxa"/>
            <w:vMerge w:val="continue"/>
            <w:shd w:val="clear" w:color="auto" w:fill="auto"/>
            <w:noWrap/>
            <w:vAlign w:val="center"/>
          </w:tcPr>
          <w:p w14:paraId="6EB981C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r>
      <w:tr w14:paraId="2060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515" w:type="dxa"/>
            <w:vMerge w:val="continue"/>
            <w:shd w:val="clear" w:color="auto" w:fill="auto"/>
            <w:noWrap/>
            <w:vAlign w:val="center"/>
          </w:tcPr>
          <w:p w14:paraId="24C2B9D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2564" w:type="dxa"/>
            <w:shd w:val="clear" w:color="auto" w:fill="auto"/>
            <w:noWrap/>
            <w:vAlign w:val="center"/>
          </w:tcPr>
          <w:p w14:paraId="59C63A27">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6.3订单班培养</w:t>
            </w:r>
          </w:p>
        </w:tc>
        <w:tc>
          <w:tcPr>
            <w:tcW w:w="2572" w:type="dxa"/>
            <w:shd w:val="clear" w:color="auto" w:fill="auto"/>
            <w:noWrap/>
            <w:vAlign w:val="center"/>
          </w:tcPr>
          <w:p w14:paraId="2AE2586C">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6069" w:type="dxa"/>
            <w:vMerge w:val="continue"/>
            <w:shd w:val="clear" w:color="auto" w:fill="auto"/>
            <w:vAlign w:val="center"/>
          </w:tcPr>
          <w:p w14:paraId="07F9EF74">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hint="eastAsia" w:ascii="仿宋_GB2312" w:hAnsi="等线" w:eastAsia="仿宋_GB2312" w:cs="宋体"/>
                <w:color w:val="000000"/>
                <w:kern w:val="0"/>
                <w:sz w:val="24"/>
                <w:highlight w:val="none"/>
              </w:rPr>
            </w:pPr>
          </w:p>
        </w:tc>
        <w:tc>
          <w:tcPr>
            <w:tcW w:w="1444" w:type="dxa"/>
            <w:vMerge w:val="continue"/>
            <w:shd w:val="clear" w:color="auto" w:fill="auto"/>
            <w:noWrap/>
            <w:vAlign w:val="center"/>
          </w:tcPr>
          <w:p w14:paraId="576A3C7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c>
          <w:tcPr>
            <w:tcW w:w="1677" w:type="dxa"/>
            <w:vMerge w:val="continue"/>
            <w:shd w:val="clear" w:color="auto" w:fill="auto"/>
            <w:noWrap/>
            <w:vAlign w:val="center"/>
          </w:tcPr>
          <w:p w14:paraId="2DC1B46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rPr>
            </w:pPr>
          </w:p>
        </w:tc>
      </w:tr>
      <w:tr w14:paraId="511E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515" w:type="dxa"/>
            <w:vMerge w:val="restart"/>
            <w:shd w:val="clear" w:color="auto" w:fill="auto"/>
            <w:noWrap/>
            <w:vAlign w:val="center"/>
          </w:tcPr>
          <w:p w14:paraId="6575BAD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仿宋_GB2312" w:hAnsi="等线" w:eastAsia="仿宋_GB2312" w:cs="宋体"/>
                <w:color w:val="000000"/>
                <w:kern w:val="0"/>
                <w:sz w:val="24"/>
                <w:highlight w:val="none"/>
                <w:lang w:eastAsia="zh-CN"/>
              </w:rPr>
            </w:pPr>
            <w:r>
              <w:rPr>
                <w:rFonts w:hint="eastAsia" w:ascii="仿宋_GB2312" w:hAnsi="等线" w:eastAsia="仿宋_GB2312" w:cs="宋体"/>
                <w:color w:val="000000"/>
                <w:kern w:val="0"/>
                <w:sz w:val="24"/>
                <w:highlight w:val="none"/>
                <w:lang w:val="en-US" w:eastAsia="zh-CN"/>
              </w:rPr>
              <w:t>7.发展保障</w:t>
            </w:r>
          </w:p>
        </w:tc>
        <w:tc>
          <w:tcPr>
            <w:tcW w:w="2564" w:type="dxa"/>
            <w:shd w:val="clear" w:color="auto" w:fill="auto"/>
            <w:noWrap/>
            <w:vAlign w:val="center"/>
          </w:tcPr>
          <w:p w14:paraId="59191BE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7</w:t>
            </w:r>
            <w:r>
              <w:rPr>
                <w:rFonts w:hint="eastAsia" w:ascii="仿宋_GB2312" w:hAnsi="等线" w:eastAsia="仿宋_GB2312" w:cs="宋体"/>
                <w:color w:val="000000"/>
                <w:kern w:val="0"/>
                <w:sz w:val="24"/>
                <w:highlight w:val="none"/>
              </w:rPr>
              <w:t>.1国家政策落实</w:t>
            </w:r>
          </w:p>
        </w:tc>
        <w:tc>
          <w:tcPr>
            <w:tcW w:w="2572" w:type="dxa"/>
            <w:shd w:val="clear" w:color="auto" w:fill="auto"/>
            <w:noWrap/>
            <w:vAlign w:val="center"/>
          </w:tcPr>
          <w:p w14:paraId="19B371B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6069" w:type="dxa"/>
            <w:vMerge w:val="restart"/>
            <w:shd w:val="clear" w:color="auto" w:fill="auto"/>
            <w:vAlign w:val="center"/>
          </w:tcPr>
          <w:p w14:paraId="72280326">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概述</w:t>
            </w:r>
            <w:r>
              <w:rPr>
                <w:rFonts w:hint="eastAsia" w:ascii="仿宋_GB2312" w:hAnsi="等线" w:eastAsia="仿宋_GB2312" w:cs="宋体"/>
                <w:color w:val="000000"/>
                <w:kern w:val="0"/>
                <w:sz w:val="24"/>
                <w:highlight w:val="none"/>
              </w:rPr>
              <w:t>国家宏观政策支持、地方政策落地情况分析。</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关于推动现代职业教育高质量发展的意见》</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创新发展行动计划</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《关于深化现代职业教育体系建设改革的意见</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安徽省人民政府关于印发深化高校学科专业结构改革服务产业创新发展实施方案（2022—</w:t>
            </w:r>
            <w:r>
              <w:rPr>
                <w:rFonts w:hint="eastAsia" w:ascii="仿宋_GB2312" w:hAnsi="等线" w:eastAsia="仿宋_GB2312" w:cs="宋体"/>
                <w:color w:val="000000"/>
                <w:kern w:val="0"/>
                <w:sz w:val="24"/>
                <w:highlight w:val="none"/>
                <w:lang w:eastAsia="zh-CN"/>
              </w:rPr>
              <w:t>2024</w:t>
            </w:r>
            <w:r>
              <w:rPr>
                <w:rFonts w:hint="eastAsia" w:ascii="仿宋_GB2312" w:hAnsi="等线" w:eastAsia="仿宋_GB2312" w:cs="宋体"/>
                <w:color w:val="000000"/>
                <w:kern w:val="0"/>
                <w:sz w:val="24"/>
                <w:highlight w:val="none"/>
              </w:rPr>
              <w:t>年）的通知（皖政〔2022〕66号）》《教育部等五部门关于印发</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普通高等教育学科专业设置调整优化改革方案</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的通知》（教高〔2023〕1号）、《国家发展改革委等部门关于印发</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职业教育产教融合赋能提升行动实施方案（2023—</w:t>
            </w:r>
            <w:r>
              <w:rPr>
                <w:rFonts w:hint="eastAsia" w:ascii="仿宋_GB2312" w:hAnsi="等线" w:eastAsia="仿宋_GB2312" w:cs="宋体"/>
                <w:color w:val="000000"/>
                <w:kern w:val="0"/>
                <w:sz w:val="24"/>
                <w:highlight w:val="none"/>
                <w:lang w:eastAsia="zh-CN"/>
              </w:rPr>
              <w:t>2024</w:t>
            </w:r>
            <w:r>
              <w:rPr>
                <w:rFonts w:hint="eastAsia" w:ascii="仿宋_GB2312" w:hAnsi="等线" w:eastAsia="仿宋_GB2312" w:cs="宋体"/>
                <w:color w:val="000000"/>
                <w:kern w:val="0"/>
                <w:sz w:val="24"/>
                <w:highlight w:val="none"/>
              </w:rPr>
              <w:t>年）</w:t>
            </w:r>
            <w:r>
              <w:rPr>
                <w:rFonts w:hint="eastAsia" w:ascii="仿宋_GB2312" w:hAnsi="等线" w:eastAsia="仿宋_GB2312" w:cs="宋体"/>
                <w:color w:val="000000"/>
                <w:kern w:val="0"/>
                <w:sz w:val="24"/>
                <w:highlight w:val="none"/>
                <w:lang w:eastAsia="zh-CN"/>
              </w:rPr>
              <w:t>〉</w:t>
            </w:r>
            <w:r>
              <w:rPr>
                <w:rFonts w:hint="eastAsia" w:ascii="仿宋_GB2312" w:hAnsi="等线" w:eastAsia="仿宋_GB2312" w:cs="宋体"/>
                <w:color w:val="000000"/>
                <w:kern w:val="0"/>
                <w:sz w:val="24"/>
                <w:highlight w:val="none"/>
              </w:rPr>
              <w:t>的通知》（发改社会〔2023〕699号）政策落实情况。</w:t>
            </w:r>
            <w:r>
              <w:rPr>
                <w:rFonts w:hint="eastAsia" w:ascii="仿宋_GB2312" w:hAnsi="等线" w:eastAsia="仿宋_GB2312" w:cs="宋体"/>
                <w:color w:val="000000"/>
                <w:kern w:val="0"/>
                <w:sz w:val="24"/>
                <w:highlight w:val="none"/>
                <w:lang w:eastAsia="zh-CN"/>
              </w:rPr>
              <w:t>）</w:t>
            </w:r>
          </w:p>
        </w:tc>
        <w:tc>
          <w:tcPr>
            <w:tcW w:w="1444" w:type="dxa"/>
            <w:shd w:val="clear" w:color="auto" w:fill="auto"/>
            <w:noWrap/>
            <w:vAlign w:val="center"/>
          </w:tcPr>
          <w:p w14:paraId="3E4256E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0</w:t>
            </w:r>
            <w:r>
              <w:rPr>
                <w:rFonts w:hint="eastAsia" w:ascii="仿宋_GB2312" w:hAnsi="等线" w:eastAsia="仿宋_GB2312" w:cs="宋体"/>
                <w:color w:val="000000"/>
                <w:kern w:val="0"/>
                <w:sz w:val="24"/>
                <w:highlight w:val="none"/>
              </w:rPr>
              <w:t>00</w:t>
            </w:r>
          </w:p>
        </w:tc>
        <w:tc>
          <w:tcPr>
            <w:tcW w:w="1677" w:type="dxa"/>
            <w:vMerge w:val="restart"/>
            <w:shd w:val="clear" w:color="auto" w:fill="auto"/>
            <w:noWrap/>
            <w:vAlign w:val="center"/>
          </w:tcPr>
          <w:p w14:paraId="0CF0FA8D">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5214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515" w:type="dxa"/>
            <w:vMerge w:val="continue"/>
            <w:vAlign w:val="center"/>
          </w:tcPr>
          <w:p w14:paraId="07F9521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shd w:val="clear" w:color="auto" w:fill="auto"/>
            <w:noWrap/>
            <w:vAlign w:val="center"/>
          </w:tcPr>
          <w:p w14:paraId="4C87781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7</w:t>
            </w:r>
            <w:r>
              <w:rPr>
                <w:rFonts w:hint="eastAsia" w:ascii="仿宋_GB2312" w:hAnsi="等线" w:eastAsia="仿宋_GB2312" w:cs="宋体"/>
                <w:color w:val="000000"/>
                <w:kern w:val="0"/>
                <w:sz w:val="24"/>
                <w:highlight w:val="none"/>
              </w:rPr>
              <w:t>.2地方政策落实</w:t>
            </w:r>
          </w:p>
        </w:tc>
        <w:tc>
          <w:tcPr>
            <w:tcW w:w="2572" w:type="dxa"/>
            <w:shd w:val="clear" w:color="auto" w:fill="auto"/>
            <w:noWrap/>
            <w:vAlign w:val="center"/>
          </w:tcPr>
          <w:p w14:paraId="5F43D9D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6069" w:type="dxa"/>
            <w:vMerge w:val="continue"/>
            <w:vAlign w:val="center"/>
          </w:tcPr>
          <w:p w14:paraId="40410538">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p>
        </w:tc>
        <w:tc>
          <w:tcPr>
            <w:tcW w:w="1444" w:type="dxa"/>
            <w:shd w:val="clear" w:color="auto" w:fill="auto"/>
            <w:noWrap/>
            <w:vAlign w:val="center"/>
          </w:tcPr>
          <w:p w14:paraId="35031EB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w:t>
            </w:r>
            <w:r>
              <w:rPr>
                <w:rFonts w:hint="eastAsia" w:ascii="仿宋_GB2312" w:hAnsi="等线" w:eastAsia="仿宋_GB2312" w:cs="宋体"/>
                <w:color w:val="000000"/>
                <w:kern w:val="0"/>
                <w:sz w:val="24"/>
                <w:highlight w:val="none"/>
                <w:lang w:val="en-US" w:eastAsia="zh-CN"/>
              </w:rPr>
              <w:t>0</w:t>
            </w:r>
            <w:r>
              <w:rPr>
                <w:rFonts w:hint="eastAsia" w:ascii="仿宋_GB2312" w:hAnsi="等线" w:eastAsia="仿宋_GB2312" w:cs="宋体"/>
                <w:color w:val="000000"/>
                <w:kern w:val="0"/>
                <w:sz w:val="24"/>
                <w:highlight w:val="none"/>
              </w:rPr>
              <w:t>00</w:t>
            </w:r>
          </w:p>
        </w:tc>
        <w:tc>
          <w:tcPr>
            <w:tcW w:w="1677" w:type="dxa"/>
            <w:vMerge w:val="continue"/>
            <w:vAlign w:val="center"/>
          </w:tcPr>
          <w:p w14:paraId="5FD4F53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r>
      <w:tr w14:paraId="663E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5" w:type="dxa"/>
            <w:vMerge w:val="continue"/>
            <w:vAlign w:val="center"/>
          </w:tcPr>
          <w:p w14:paraId="263ADDC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shd w:val="clear" w:color="auto" w:fill="auto"/>
            <w:noWrap/>
            <w:vAlign w:val="center"/>
          </w:tcPr>
          <w:p w14:paraId="1991366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7</w:t>
            </w:r>
            <w:r>
              <w:rPr>
                <w:rFonts w:hint="eastAsia" w:ascii="仿宋_GB2312" w:hAnsi="等线" w:eastAsia="仿宋_GB2312" w:cs="宋体"/>
                <w:color w:val="000000"/>
                <w:kern w:val="0"/>
                <w:sz w:val="24"/>
                <w:highlight w:val="none"/>
              </w:rPr>
              <w:t>.3学校治理</w:t>
            </w:r>
          </w:p>
        </w:tc>
        <w:tc>
          <w:tcPr>
            <w:tcW w:w="2572" w:type="dxa"/>
            <w:shd w:val="clear" w:color="auto" w:fill="auto"/>
            <w:noWrap/>
            <w:vAlign w:val="center"/>
          </w:tcPr>
          <w:p w14:paraId="4F044980">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6069" w:type="dxa"/>
            <w:shd w:val="clear" w:color="auto" w:fill="auto"/>
            <w:vAlign w:val="center"/>
          </w:tcPr>
          <w:p w14:paraId="58464B01">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体制建设与创新情况、学校治理情况、大学章程制度等的建设运行情况</w:t>
            </w:r>
          </w:p>
        </w:tc>
        <w:tc>
          <w:tcPr>
            <w:tcW w:w="1444" w:type="dxa"/>
            <w:shd w:val="clear" w:color="auto" w:fill="auto"/>
            <w:noWrap/>
            <w:vAlign w:val="center"/>
          </w:tcPr>
          <w:p w14:paraId="7A09CBD2">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1000</w:t>
            </w:r>
          </w:p>
        </w:tc>
        <w:tc>
          <w:tcPr>
            <w:tcW w:w="1677" w:type="dxa"/>
            <w:shd w:val="clear" w:color="auto" w:fill="auto"/>
            <w:noWrap/>
            <w:vAlign w:val="center"/>
          </w:tcPr>
          <w:p w14:paraId="15CE080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办公室</w:t>
            </w:r>
          </w:p>
        </w:tc>
      </w:tr>
      <w:tr w14:paraId="4E37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5" w:type="dxa"/>
            <w:vMerge w:val="continue"/>
            <w:vAlign w:val="center"/>
          </w:tcPr>
          <w:p w14:paraId="5331E31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shd w:val="clear" w:color="auto" w:fill="auto"/>
            <w:noWrap/>
            <w:vAlign w:val="center"/>
          </w:tcPr>
          <w:p w14:paraId="28FB307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7</w:t>
            </w:r>
            <w:r>
              <w:rPr>
                <w:rFonts w:hint="eastAsia" w:ascii="仿宋_GB2312" w:hAnsi="等线" w:eastAsia="仿宋_GB2312" w:cs="宋体"/>
                <w:color w:val="000000"/>
                <w:kern w:val="0"/>
                <w:sz w:val="24"/>
                <w:highlight w:val="none"/>
              </w:rPr>
              <w:t>.4质量保证体系建设</w:t>
            </w:r>
          </w:p>
        </w:tc>
        <w:tc>
          <w:tcPr>
            <w:tcW w:w="2572" w:type="dxa"/>
            <w:shd w:val="clear" w:color="auto" w:fill="auto"/>
            <w:noWrap/>
            <w:vAlign w:val="center"/>
          </w:tcPr>
          <w:p w14:paraId="1D11DF0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6069" w:type="dxa"/>
            <w:shd w:val="clear" w:color="auto" w:fill="auto"/>
            <w:vAlign w:val="center"/>
          </w:tcPr>
          <w:p w14:paraId="4590A6A2">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质量保证体系建设，</w:t>
            </w:r>
            <w:r>
              <w:rPr>
                <w:rFonts w:hint="eastAsia" w:ascii="仿宋_GB2312" w:hAnsi="等线" w:eastAsia="仿宋_GB2312" w:cs="宋体"/>
                <w:color w:val="000000"/>
                <w:kern w:val="0"/>
                <w:sz w:val="24"/>
                <w:highlight w:val="none"/>
              </w:rPr>
              <w:t>教学诊断与改进工作等。</w:t>
            </w:r>
          </w:p>
        </w:tc>
        <w:tc>
          <w:tcPr>
            <w:tcW w:w="1444" w:type="dxa"/>
            <w:shd w:val="clear" w:color="auto" w:fill="auto"/>
            <w:noWrap/>
            <w:vAlign w:val="center"/>
          </w:tcPr>
          <w:p w14:paraId="503AD436">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1000</w:t>
            </w:r>
          </w:p>
        </w:tc>
        <w:tc>
          <w:tcPr>
            <w:tcW w:w="1677" w:type="dxa"/>
            <w:shd w:val="clear" w:color="auto" w:fill="auto"/>
            <w:noWrap/>
            <w:vAlign w:val="center"/>
          </w:tcPr>
          <w:p w14:paraId="4015DA4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r w14:paraId="1728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5" w:type="dxa"/>
            <w:vMerge w:val="continue"/>
            <w:vAlign w:val="center"/>
          </w:tcPr>
          <w:p w14:paraId="16E398A3">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p>
        </w:tc>
        <w:tc>
          <w:tcPr>
            <w:tcW w:w="2564" w:type="dxa"/>
            <w:shd w:val="clear" w:color="auto" w:fill="auto"/>
            <w:noWrap/>
            <w:vAlign w:val="center"/>
          </w:tcPr>
          <w:p w14:paraId="00C96CDF">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7</w:t>
            </w:r>
            <w:r>
              <w:rPr>
                <w:rFonts w:hint="eastAsia" w:ascii="仿宋_GB2312" w:hAnsi="等线" w:eastAsia="仿宋_GB2312" w:cs="宋体"/>
                <w:color w:val="000000"/>
                <w:kern w:val="0"/>
                <w:sz w:val="24"/>
                <w:highlight w:val="none"/>
              </w:rPr>
              <w:t>.5经费投入</w:t>
            </w:r>
          </w:p>
        </w:tc>
        <w:tc>
          <w:tcPr>
            <w:tcW w:w="2572" w:type="dxa"/>
            <w:shd w:val="clear" w:color="auto" w:fill="auto"/>
            <w:noWrap/>
            <w:vAlign w:val="center"/>
          </w:tcPr>
          <w:p w14:paraId="3C133338">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6069" w:type="dxa"/>
            <w:shd w:val="clear" w:color="auto" w:fill="auto"/>
            <w:vAlign w:val="center"/>
          </w:tcPr>
          <w:p w14:paraId="5D69CF46">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政府对学校经费、项目和政府支持情况；办学经费来源情况；专项实施、经费投入、经费保障、生均学费等。</w:t>
            </w:r>
          </w:p>
        </w:tc>
        <w:tc>
          <w:tcPr>
            <w:tcW w:w="1444" w:type="dxa"/>
            <w:shd w:val="clear" w:color="auto" w:fill="auto"/>
            <w:noWrap/>
            <w:vAlign w:val="center"/>
          </w:tcPr>
          <w:p w14:paraId="50565BC4">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default" w:ascii="仿宋_GB2312" w:hAnsi="等线" w:eastAsia="仿宋_GB2312" w:cs="宋体"/>
                <w:color w:val="000000"/>
                <w:kern w:val="0"/>
                <w:sz w:val="24"/>
                <w:highlight w:val="none"/>
                <w:lang w:val="en-US" w:eastAsia="zh-CN"/>
              </w:rPr>
            </w:pPr>
            <w:r>
              <w:rPr>
                <w:rFonts w:hint="eastAsia" w:ascii="仿宋_GB2312" w:hAnsi="等线" w:eastAsia="仿宋_GB2312" w:cs="宋体"/>
                <w:color w:val="000000"/>
                <w:kern w:val="0"/>
                <w:sz w:val="24"/>
                <w:highlight w:val="none"/>
                <w:lang w:val="en-US" w:eastAsia="zh-CN"/>
              </w:rPr>
              <w:t>1000</w:t>
            </w:r>
          </w:p>
        </w:tc>
        <w:tc>
          <w:tcPr>
            <w:tcW w:w="1677" w:type="dxa"/>
            <w:shd w:val="clear" w:color="auto" w:fill="auto"/>
            <w:noWrap/>
            <w:vAlign w:val="center"/>
          </w:tcPr>
          <w:p w14:paraId="57914145">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财务处</w:t>
            </w:r>
          </w:p>
        </w:tc>
      </w:tr>
      <w:tr w14:paraId="42D2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15" w:type="dxa"/>
            <w:shd w:val="clear" w:color="auto" w:fill="auto"/>
            <w:noWrap/>
            <w:vAlign w:val="center"/>
          </w:tcPr>
          <w:p w14:paraId="7A5259E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lang w:val="en-US" w:eastAsia="zh-CN"/>
              </w:rPr>
              <w:t>8.</w:t>
            </w:r>
            <w:r>
              <w:rPr>
                <w:rFonts w:hint="eastAsia" w:ascii="仿宋_GB2312" w:hAnsi="等线" w:eastAsia="仿宋_GB2312" w:cs="宋体"/>
                <w:color w:val="000000"/>
                <w:kern w:val="0"/>
                <w:sz w:val="24"/>
                <w:highlight w:val="none"/>
              </w:rPr>
              <w:t>面临挑战</w:t>
            </w:r>
          </w:p>
        </w:tc>
        <w:tc>
          <w:tcPr>
            <w:tcW w:w="2564" w:type="dxa"/>
            <w:shd w:val="clear" w:color="auto" w:fill="auto"/>
            <w:noWrap/>
            <w:vAlign w:val="center"/>
          </w:tcPr>
          <w:p w14:paraId="77192B4A">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2572" w:type="dxa"/>
            <w:shd w:val="clear" w:color="auto" w:fill="auto"/>
            <w:noWrap/>
            <w:vAlign w:val="center"/>
          </w:tcPr>
          <w:p w14:paraId="1F8F4109">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w:t>
            </w:r>
          </w:p>
        </w:tc>
        <w:tc>
          <w:tcPr>
            <w:tcW w:w="6069" w:type="dxa"/>
            <w:shd w:val="clear" w:color="auto" w:fill="auto"/>
            <w:vAlign w:val="center"/>
          </w:tcPr>
          <w:p w14:paraId="0CF96E40">
            <w:pPr>
              <w:keepNext w:val="0"/>
              <w:keepLines w:val="0"/>
              <w:pageBreakBefore w:val="0"/>
              <w:widowControl/>
              <w:kinsoku/>
              <w:wordWrap/>
              <w:overflowPunct/>
              <w:topLinePunct w:val="0"/>
              <w:autoSpaceDE/>
              <w:autoSpaceDN/>
              <w:bidi w:val="0"/>
              <w:adjustRightInd/>
              <w:snapToGrid/>
              <w:spacing w:line="350" w:lineRule="exact"/>
              <w:jc w:val="both"/>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学校未来发展面临的挑战。</w:t>
            </w:r>
          </w:p>
        </w:tc>
        <w:tc>
          <w:tcPr>
            <w:tcW w:w="1444" w:type="dxa"/>
            <w:shd w:val="clear" w:color="auto" w:fill="auto"/>
            <w:noWrap/>
            <w:vAlign w:val="center"/>
          </w:tcPr>
          <w:p w14:paraId="204A1CCB">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1000</w:t>
            </w:r>
          </w:p>
        </w:tc>
        <w:tc>
          <w:tcPr>
            <w:tcW w:w="1677" w:type="dxa"/>
            <w:shd w:val="clear" w:color="auto" w:fill="auto"/>
            <w:noWrap/>
            <w:vAlign w:val="center"/>
          </w:tcPr>
          <w:p w14:paraId="42B74DFE">
            <w:pPr>
              <w:keepNext w:val="0"/>
              <w:keepLines w:val="0"/>
              <w:pageBreakBefore w:val="0"/>
              <w:widowControl/>
              <w:kinsoku/>
              <w:wordWrap/>
              <w:overflowPunct/>
              <w:topLinePunct w:val="0"/>
              <w:autoSpaceDE/>
              <w:autoSpaceDN/>
              <w:bidi w:val="0"/>
              <w:adjustRightInd/>
              <w:snapToGrid/>
              <w:spacing w:line="350" w:lineRule="exact"/>
              <w:jc w:val="center"/>
              <w:textAlignment w:val="auto"/>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教务处</w:t>
            </w:r>
          </w:p>
        </w:tc>
      </w:tr>
    </w:tbl>
    <w:p w14:paraId="77F8EC61">
      <w:pPr>
        <w:spacing w:line="520" w:lineRule="exact"/>
        <w:jc w:val="left"/>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备注：</w:t>
      </w:r>
    </w:p>
    <w:p w14:paraId="02C27F1D">
      <w:pPr>
        <w:spacing w:line="520" w:lineRule="exact"/>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1.以第三人称编制，避免出现“我校”的表述。</w:t>
      </w:r>
    </w:p>
    <w:p w14:paraId="0475ABC0">
      <w:pPr>
        <w:spacing w:line="520" w:lineRule="exact"/>
        <w:jc w:val="left"/>
        <w:rPr>
          <w:rFonts w:ascii="仿宋_GB2312" w:hAnsi="仿宋_GB2312" w:eastAsia="仿宋_GB2312" w:cs="仿宋_GB2312"/>
          <w:sz w:val="24"/>
          <w:szCs w:val="24"/>
          <w:highlight w:val="none"/>
        </w:rPr>
        <w:sectPr>
          <w:footerReference r:id="rId3" w:type="default"/>
          <w:type w:val="continuous"/>
          <w:pgSz w:w="16838" w:h="11906" w:orient="landscape"/>
          <w:pgMar w:top="663" w:right="720" w:bottom="663" w:left="720" w:header="680" w:footer="454" w:gutter="0"/>
          <w:cols w:space="425" w:num="1"/>
          <w:docGrid w:type="lines" w:linePitch="312" w:charSpace="0"/>
        </w:sectPr>
      </w:pPr>
      <w:r>
        <w:rPr>
          <w:rFonts w:hint="eastAsia" w:ascii="仿宋_GB2312" w:hAnsi="仿宋_GB2312" w:eastAsia="仿宋_GB2312" w:cs="仿宋_GB2312"/>
          <w:sz w:val="24"/>
          <w:szCs w:val="24"/>
          <w:highlight w:val="none"/>
        </w:rPr>
        <w:t>2.需要二级学院提供材料的由责任部门与二级学院对接。</w:t>
      </w:r>
    </w:p>
    <w:p w14:paraId="74726987">
      <w:pPr>
        <w:rPr>
          <w:rFonts w:ascii="黑体" w:hAnsi="黑体" w:eastAsia="黑体" w:cs="黑体"/>
          <w:sz w:val="28"/>
          <w:szCs w:val="28"/>
        </w:rPr>
      </w:pPr>
      <w:r>
        <w:rPr>
          <w:rFonts w:hint="eastAsia" w:ascii="黑体" w:hAnsi="黑体" w:eastAsia="黑体" w:cs="黑体"/>
          <w:sz w:val="28"/>
          <w:szCs w:val="28"/>
        </w:rPr>
        <w:t>附件2：</w:t>
      </w:r>
    </w:p>
    <w:p w14:paraId="5047C0CF">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（企业全称）参与高等职业教育人才培养</w:t>
      </w:r>
    </w:p>
    <w:p w14:paraId="721BF499">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年度报告（</w:t>
      </w:r>
      <w:r>
        <w:rPr>
          <w:rFonts w:hint="eastAsia" w:ascii="方正小标宋简体" w:hAnsi="方正小标宋简体" w:eastAsia="方正小标宋简体" w:cs="方正小标宋简体"/>
          <w:sz w:val="36"/>
          <w:szCs w:val="36"/>
          <w:lang w:eastAsia="zh-CN"/>
        </w:rPr>
        <w:t>2024</w:t>
      </w:r>
      <w:r>
        <w:rPr>
          <w:rFonts w:hint="eastAsia" w:ascii="方正小标宋简体" w:hAnsi="方正小标宋简体" w:eastAsia="方正小标宋简体" w:cs="方正小标宋简体"/>
          <w:sz w:val="36"/>
          <w:szCs w:val="36"/>
          <w:lang w:val="en-US" w:eastAsia="zh-CN"/>
        </w:rPr>
        <w:t>年度</w:t>
      </w:r>
      <w:r>
        <w:rPr>
          <w:rFonts w:hint="eastAsia" w:ascii="方正小标宋简体" w:hAnsi="方正小标宋简体" w:eastAsia="方正小标宋简体" w:cs="方正小标宋简体"/>
          <w:sz w:val="36"/>
          <w:szCs w:val="36"/>
        </w:rPr>
        <w:t>）编写内容及要求</w:t>
      </w:r>
    </w:p>
    <w:p w14:paraId="31D8647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一、企业年报编写通知要求</w:t>
      </w:r>
    </w:p>
    <w:p w14:paraId="5258629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企业年报是落实“发挥企业重要办学主体作用”的重要体现，依据《国务院关于加快发展现代职业教育的决定》关于“规模以上企业要有机构或人员组织实施职工培训、对接职业院校，设立学生实习和教师实践岗位”的要求，鼓励各高职院校主动联系，推动一批实际参与人才培养的企业面向社会发布企业年报。重点从企业资源投入、参与高职教育教学（做法、成效和问题）等方面进行编制。</w:t>
      </w:r>
    </w:p>
    <w:p w14:paraId="48E4316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二、企业年报编写分工</w:t>
      </w:r>
    </w:p>
    <w:p w14:paraId="3C9328C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各二级学院选取有一定规模、深度合作的企业，联系企业，完成企业年报编写，每个二级学院均需上报1例。</w:t>
      </w:r>
    </w:p>
    <w:p w14:paraId="2AAEB07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三、企业年报编制要求</w:t>
      </w:r>
    </w:p>
    <w:p w14:paraId="51BDC48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lang w:eastAsia="zh-CN"/>
        </w:rPr>
        <w:t>（一）</w:t>
      </w:r>
      <w:r>
        <w:rPr>
          <w:rFonts w:hint="eastAsia" w:ascii="楷体" w:hAnsi="楷体" w:eastAsia="楷体" w:cs="楷体"/>
          <w:b/>
          <w:bCs/>
          <w:sz w:val="28"/>
          <w:szCs w:val="28"/>
        </w:rPr>
        <w:t>格式要求</w:t>
      </w:r>
    </w:p>
    <w:p w14:paraId="158D485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1.标题：方正小标宋简体，二号。</w:t>
      </w:r>
    </w:p>
    <w:p w14:paraId="72120D5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2.正文：仿宋_GB2312，三号。</w:t>
      </w:r>
    </w:p>
    <w:p w14:paraId="70AE143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3.全文行间距为固定值28磅。</w:t>
      </w:r>
    </w:p>
    <w:p w14:paraId="4C11DBF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4.正文标题要求如下：</w:t>
      </w:r>
    </w:p>
    <w:p w14:paraId="491F708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A.一级标题小二号黑体字（不加粗）如：</w:t>
      </w:r>
      <w:r>
        <w:rPr>
          <w:rFonts w:hint="eastAsia" w:ascii="黑体" w:hAnsi="黑体" w:eastAsia="黑体" w:cs="黑体"/>
          <w:sz w:val="28"/>
          <w:szCs w:val="28"/>
        </w:rPr>
        <w:t>一、二、</w:t>
      </w:r>
      <w:r>
        <w:rPr>
          <w:rFonts w:hint="eastAsia" w:ascii="仿宋_GB2312" w:hAnsi="仿宋_GB2312" w:eastAsia="仿宋_GB2312" w:cs="仿宋_GB2312"/>
          <w:sz w:val="28"/>
          <w:szCs w:val="28"/>
        </w:rPr>
        <w:t>……</w:t>
      </w:r>
    </w:p>
    <w:p w14:paraId="5E4D584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B.二级标题三号楷体字（加粗）如：</w:t>
      </w:r>
      <w:r>
        <w:rPr>
          <w:rFonts w:hint="eastAsia" w:ascii="楷体" w:hAnsi="楷体" w:eastAsia="楷体" w:cs="楷体"/>
          <w:b/>
          <w:bCs/>
          <w:sz w:val="28"/>
          <w:szCs w:val="28"/>
        </w:rPr>
        <w:t>（一）（二）</w:t>
      </w:r>
      <w:r>
        <w:rPr>
          <w:rFonts w:hint="eastAsia" w:ascii="仿宋_GB2312" w:hAnsi="仿宋_GB2312" w:eastAsia="仿宋_GB2312" w:cs="仿宋_GB2312"/>
          <w:sz w:val="28"/>
          <w:szCs w:val="28"/>
        </w:rPr>
        <w:t>……</w:t>
      </w:r>
    </w:p>
    <w:p w14:paraId="327ABC2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C.三级标题三号仿宋_GB2312字（加粗）如：</w:t>
      </w:r>
      <w:r>
        <w:rPr>
          <w:rFonts w:hint="eastAsia" w:ascii="仿宋_GB2312" w:hAnsi="仿宋_GB2312" w:eastAsia="仿宋_GB2312" w:cs="仿宋_GB2312"/>
          <w:b/>
          <w:bCs/>
          <w:sz w:val="28"/>
          <w:szCs w:val="28"/>
        </w:rPr>
        <w:t>1.2.3.</w:t>
      </w:r>
      <w:r>
        <w:rPr>
          <w:rFonts w:hint="eastAsia" w:ascii="仿宋_GB2312" w:hAnsi="仿宋_GB2312" w:eastAsia="仿宋_GB2312" w:cs="仿宋_GB2312"/>
          <w:sz w:val="28"/>
          <w:szCs w:val="28"/>
        </w:rPr>
        <w:t>（数字后为点，不用顿号）</w:t>
      </w:r>
    </w:p>
    <w:p w14:paraId="5A7BC0A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4.表格：以美观为主，字体不受限制，可以用四号或五号字，但字体请用仿宋_GB2312。</w:t>
      </w:r>
    </w:p>
    <w:p w14:paraId="12FF216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rPr>
        <w:t>（二）大纲及内容建议</w:t>
      </w:r>
    </w:p>
    <w:p w14:paraId="48590FC7">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eastAsia="zh-CN"/>
        </w:rPr>
        <w:t>(1)</w:t>
      </w:r>
      <w:r>
        <w:rPr>
          <w:rFonts w:hint="eastAsia" w:ascii="仿宋_GB2312" w:hAnsi="仿宋_GB2312" w:eastAsia="仿宋_GB2312" w:cs="仿宋_GB2312"/>
          <w:b/>
          <w:bCs/>
          <w:sz w:val="28"/>
          <w:szCs w:val="28"/>
          <w:highlight w:val="none"/>
        </w:rPr>
        <w:t>企业概况</w:t>
      </w:r>
    </w:p>
    <w:p w14:paraId="4EEC62A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企业概况主要包括企业规模、行业背景、企业治理、参与职教的条件、沿革等。</w:t>
      </w:r>
    </w:p>
    <w:p w14:paraId="5DE0CC0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eastAsia="zh-CN"/>
        </w:rPr>
        <w:t>(2)</w:t>
      </w:r>
      <w:r>
        <w:rPr>
          <w:rFonts w:hint="eastAsia" w:ascii="仿宋_GB2312" w:hAnsi="仿宋_GB2312" w:eastAsia="仿宋_GB2312" w:cs="仿宋_GB2312"/>
          <w:b/>
          <w:bCs/>
          <w:sz w:val="28"/>
          <w:szCs w:val="28"/>
          <w:highlight w:val="none"/>
        </w:rPr>
        <w:t>企业参与办学总体情况</w:t>
      </w:r>
    </w:p>
    <w:p w14:paraId="4542221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sz w:val="28"/>
          <w:szCs w:val="28"/>
          <w:highlight w:val="none"/>
          <w:lang w:val="en-US" w:eastAsia="zh-CN"/>
        </w:rPr>
        <w:t>从参与办学的合作体制机制、参与办学模式、参与办学的成效（助推学校发展、人才培养、“五金”建设）等方面进行简要总述，重点突出企业办学主体作用。</w:t>
      </w:r>
    </w:p>
    <w:p w14:paraId="448800C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eastAsia="zh-CN"/>
        </w:rPr>
        <w:t>(3)</w:t>
      </w:r>
      <w:r>
        <w:rPr>
          <w:rFonts w:hint="eastAsia" w:ascii="仿宋_GB2312" w:hAnsi="仿宋_GB2312" w:eastAsia="仿宋_GB2312" w:cs="仿宋_GB2312"/>
          <w:b/>
          <w:bCs/>
          <w:sz w:val="28"/>
          <w:szCs w:val="28"/>
          <w:highlight w:val="none"/>
        </w:rPr>
        <w:t>企业资源投入</w:t>
      </w:r>
      <w:r>
        <w:rPr>
          <w:rFonts w:hint="eastAsia" w:ascii="仿宋_GB2312" w:hAnsi="仿宋_GB2312" w:eastAsia="仿宋_GB2312" w:cs="仿宋_GB2312"/>
          <w:b/>
          <w:bCs/>
          <w:sz w:val="28"/>
          <w:szCs w:val="28"/>
          <w:highlight w:val="none"/>
          <w:lang w:val="en-US" w:eastAsia="zh-CN"/>
        </w:rPr>
        <w:t>及专项支持</w:t>
      </w:r>
    </w:p>
    <w:p w14:paraId="607C134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企业资源投入包括有形资源、无形资源和人才资源（经费、物力、人力资源等）。专项支持指企业为支持高等职业教育发展而提供的多种形式的资源和帮助。例如，针对特定的教育项目、课程改革或学生活动提供专项资助，以促进职业教育的创新和发展等。</w:t>
      </w:r>
    </w:p>
    <w:p w14:paraId="5C418E8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eastAsia="zh-CN"/>
        </w:rPr>
        <w:t>(4)</w:t>
      </w:r>
      <w:r>
        <w:rPr>
          <w:rFonts w:hint="eastAsia" w:ascii="仿宋_GB2312" w:hAnsi="仿宋_GB2312" w:eastAsia="仿宋_GB2312" w:cs="仿宋_GB2312"/>
          <w:b/>
          <w:bCs/>
          <w:sz w:val="28"/>
          <w:szCs w:val="28"/>
          <w:highlight w:val="none"/>
        </w:rPr>
        <w:t>企业参与教育教学改革</w:t>
      </w:r>
    </w:p>
    <w:p w14:paraId="60CF1C2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参与教育教学（专业建设、课程建设、教材建设、师资建设、实训基地建设、学生培养）改革的特色做法及成效。</w:t>
      </w:r>
    </w:p>
    <w:p w14:paraId="207EBA9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eastAsia="zh-CN"/>
        </w:rPr>
        <w:t>(5)</w:t>
      </w:r>
      <w:r>
        <w:rPr>
          <w:rFonts w:hint="eastAsia" w:ascii="仿宋_GB2312" w:hAnsi="仿宋_GB2312" w:eastAsia="仿宋_GB2312" w:cs="仿宋_GB2312"/>
          <w:b/>
          <w:bCs/>
          <w:sz w:val="28"/>
          <w:szCs w:val="28"/>
          <w:highlight w:val="none"/>
          <w:lang w:val="en-US" w:eastAsia="zh-CN"/>
        </w:rPr>
        <w:t>助力合作院校随企出海</w:t>
      </w:r>
    </w:p>
    <w:p w14:paraId="0BAC828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sz w:val="28"/>
          <w:szCs w:val="28"/>
          <w:highlight w:val="none"/>
          <w:lang w:val="en-US" w:eastAsia="zh-CN"/>
        </w:rPr>
        <w:t>助力合作院校随企出海的特色做法及成效。</w:t>
      </w:r>
      <w:r>
        <w:rPr>
          <w:rFonts w:hint="eastAsia" w:ascii="仿宋_GB2312" w:hAnsi="仿宋_GB2312" w:eastAsia="仿宋_GB2312" w:cs="仿宋_GB2312"/>
          <w:b/>
          <w:bCs/>
          <w:sz w:val="28"/>
          <w:szCs w:val="28"/>
          <w:highlight w:val="none"/>
          <w:lang w:val="en-US" w:eastAsia="zh-CN"/>
        </w:rPr>
        <w:t>有相关合作项目的企业需撰写此部分内容。</w:t>
      </w:r>
    </w:p>
    <w:p w14:paraId="56540A0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eastAsia="zh-CN"/>
        </w:rPr>
        <w:t>(6)</w:t>
      </w:r>
      <w:r>
        <w:rPr>
          <w:rFonts w:hint="eastAsia" w:ascii="仿宋_GB2312" w:hAnsi="仿宋_GB2312" w:eastAsia="仿宋_GB2312" w:cs="仿宋_GB2312"/>
          <w:b/>
          <w:bCs/>
          <w:sz w:val="28"/>
          <w:szCs w:val="28"/>
          <w:highlight w:val="none"/>
        </w:rPr>
        <w:t>助推企业发展</w:t>
      </w:r>
    </w:p>
    <w:p w14:paraId="0200248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可从企业人力资源、研发能力、经济效益等方面撰写。</w:t>
      </w:r>
    </w:p>
    <w:p w14:paraId="25BA099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eastAsia="zh-CN"/>
        </w:rPr>
        <w:t>(7)</w:t>
      </w:r>
      <w:r>
        <w:rPr>
          <w:rFonts w:hint="eastAsia" w:ascii="仿宋_GB2312" w:hAnsi="仿宋_GB2312" w:eastAsia="仿宋_GB2312" w:cs="仿宋_GB2312"/>
          <w:b/>
          <w:bCs/>
          <w:sz w:val="28"/>
          <w:szCs w:val="28"/>
          <w:highlight w:val="none"/>
        </w:rPr>
        <w:t>问题与展望</w:t>
      </w:r>
    </w:p>
    <w:p w14:paraId="1604444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政府的参与度、统筹协调及政策</w:t>
      </w:r>
      <w:r>
        <w:rPr>
          <w:rFonts w:hint="eastAsia" w:ascii="仿宋_GB2312" w:hAnsi="仿宋_GB2312" w:eastAsia="仿宋_GB2312" w:cs="仿宋_GB2312"/>
          <w:sz w:val="28"/>
          <w:szCs w:val="28"/>
        </w:rPr>
        <w:t>方面，体制机制方面，合作积极性及人才待遇，人员、教学与工作间深度有机融合等方面问题。</w:t>
      </w:r>
    </w:p>
    <w:p w14:paraId="1FF3A99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14:paraId="2EB41320">
      <w:pPr>
        <w:spacing w:line="520" w:lineRule="exact"/>
        <w:rPr>
          <w:rFonts w:ascii="黑体" w:hAnsi="黑体" w:eastAsia="黑体" w:cs="黑体"/>
          <w:sz w:val="28"/>
          <w:szCs w:val="28"/>
        </w:rPr>
      </w:pPr>
      <w:r>
        <w:rPr>
          <w:rFonts w:hint="eastAsia" w:ascii="黑体" w:hAnsi="黑体" w:eastAsia="黑体" w:cs="黑体"/>
          <w:sz w:val="28"/>
          <w:szCs w:val="28"/>
        </w:rPr>
        <w:t>附件3：</w:t>
      </w:r>
    </w:p>
    <w:p w14:paraId="6BDCBB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质量年报格式及图片要求</w:t>
      </w:r>
    </w:p>
    <w:p w14:paraId="430AC4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一、格式要求</w:t>
      </w:r>
    </w:p>
    <w:p w14:paraId="5417A7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green"/>
          <w:lang w:eastAsia="zh-CN"/>
        </w:rPr>
      </w:pPr>
      <w:r>
        <w:rPr>
          <w:rFonts w:hint="eastAsia" w:ascii="仿宋_GB2312" w:hAnsi="仿宋_GB2312" w:eastAsia="仿宋_GB2312" w:cs="仿宋_GB2312"/>
          <w:sz w:val="28"/>
          <w:szCs w:val="28"/>
        </w:rPr>
        <w:t>1.标题：方正小标宋简体，</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号。</w:t>
      </w:r>
    </w:p>
    <w:p w14:paraId="6C4B1A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2.正文：仿宋_GB2312，三号。</w:t>
      </w:r>
    </w:p>
    <w:p w14:paraId="1F4413D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3.全文行间距为固定值28磅。</w:t>
      </w:r>
    </w:p>
    <w:p w14:paraId="10D07B7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4.正文标题要求如下：</w:t>
      </w:r>
    </w:p>
    <w:p w14:paraId="1FEBBB7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A.一级标题小二号黑体字（不加粗）如：</w:t>
      </w:r>
      <w:r>
        <w:rPr>
          <w:rFonts w:hint="eastAsia" w:ascii="黑体" w:hAnsi="黑体" w:eastAsia="黑体" w:cs="黑体"/>
          <w:sz w:val="28"/>
          <w:szCs w:val="28"/>
        </w:rPr>
        <w:t>一、二、</w:t>
      </w:r>
      <w:r>
        <w:rPr>
          <w:rFonts w:hint="eastAsia" w:ascii="仿宋_GB2312" w:hAnsi="仿宋_GB2312" w:eastAsia="仿宋_GB2312" w:cs="仿宋_GB2312"/>
          <w:sz w:val="28"/>
          <w:szCs w:val="28"/>
        </w:rPr>
        <w:t>……</w:t>
      </w:r>
    </w:p>
    <w:p w14:paraId="49ABEE8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B.二级标题三号楷体字（加粗）如：</w:t>
      </w:r>
      <w:r>
        <w:rPr>
          <w:rFonts w:hint="eastAsia" w:ascii="楷体" w:hAnsi="楷体" w:eastAsia="楷体" w:cs="楷体"/>
          <w:b/>
          <w:bCs/>
          <w:sz w:val="28"/>
          <w:szCs w:val="28"/>
        </w:rPr>
        <w:t>（一）（二）</w:t>
      </w:r>
      <w:r>
        <w:rPr>
          <w:rFonts w:hint="eastAsia" w:ascii="仿宋_GB2312" w:hAnsi="仿宋_GB2312" w:eastAsia="仿宋_GB2312" w:cs="仿宋_GB2312"/>
          <w:sz w:val="28"/>
          <w:szCs w:val="28"/>
        </w:rPr>
        <w:t>……</w:t>
      </w:r>
    </w:p>
    <w:p w14:paraId="5A911D2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C.三级标题三号仿宋_GB2312字（加粗）如：</w:t>
      </w:r>
      <w:r>
        <w:rPr>
          <w:rFonts w:hint="eastAsia" w:ascii="仿宋_GB2312" w:hAnsi="仿宋_GB2312" w:eastAsia="仿宋_GB2312" w:cs="仿宋_GB2312"/>
          <w:b/>
          <w:bCs/>
          <w:sz w:val="28"/>
          <w:szCs w:val="28"/>
        </w:rPr>
        <w:t>1.2.3.</w:t>
      </w:r>
      <w:r>
        <w:rPr>
          <w:rFonts w:hint="eastAsia" w:ascii="仿宋_GB2312" w:hAnsi="仿宋_GB2312" w:eastAsia="仿宋_GB2312" w:cs="仿宋_GB2312"/>
          <w:sz w:val="28"/>
          <w:szCs w:val="28"/>
        </w:rPr>
        <w:t>（数字后为点，不用顿号）</w:t>
      </w:r>
    </w:p>
    <w:p w14:paraId="6DA73B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4.表格：以美观为主，字体不受限制，可以用四号或五号字，但字体请用仿宋_GB2312。</w:t>
      </w:r>
    </w:p>
    <w:p w14:paraId="6E54CD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二、图片要求</w:t>
      </w:r>
    </w:p>
    <w:p w14:paraId="23B4962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1.图片格式：像素不小于1600×1200，分辨率不低于300dpi，JPEG格式，1M以上。</w:t>
      </w:r>
    </w:p>
    <w:p w14:paraId="3ACFCA7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2.图片要求：高清原图，清晰度高，主题突出、色调鲜明、清晰度高；人物照要求表情自然、阳光，突出学生参与；集体照要求为活动场景“剧照”。</w:t>
      </w:r>
    </w:p>
    <w:p w14:paraId="4AE2FC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3.每张图片须注明人物、地点、主题等背景介绍，例如：×××场景×××专业×××年级×××人×××事。</w:t>
      </w:r>
    </w:p>
    <w:p w14:paraId="650017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4.图片单独提交，不要嵌在word文档中。</w:t>
      </w:r>
    </w:p>
    <w:p w14:paraId="0247876C">
      <w:pPr>
        <w:spacing w:line="520" w:lineRule="exact"/>
        <w:rPr>
          <w:rFonts w:hint="eastAsia" w:ascii="仿宋_GB2312" w:hAnsi="仿宋_GB2312" w:eastAsia="仿宋_GB2312" w:cs="仿宋_GB2312"/>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44FC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05DDA">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7705DDA">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ZjczODA3MmQ1ZjAzNjZhMTE1MWRhZDc0ZmM3MGQifQ=="/>
  </w:docVars>
  <w:rsids>
    <w:rsidRoot w:val="1380124C"/>
    <w:rsid w:val="0000242D"/>
    <w:rsid w:val="000B6F01"/>
    <w:rsid w:val="00115B4C"/>
    <w:rsid w:val="00135B87"/>
    <w:rsid w:val="001E1E5A"/>
    <w:rsid w:val="00201E68"/>
    <w:rsid w:val="0022387C"/>
    <w:rsid w:val="002C5533"/>
    <w:rsid w:val="003015DC"/>
    <w:rsid w:val="00302094"/>
    <w:rsid w:val="00314654"/>
    <w:rsid w:val="004406DF"/>
    <w:rsid w:val="00591BD1"/>
    <w:rsid w:val="006C2644"/>
    <w:rsid w:val="006D279C"/>
    <w:rsid w:val="0084719B"/>
    <w:rsid w:val="008943E6"/>
    <w:rsid w:val="008B5617"/>
    <w:rsid w:val="008E7B3C"/>
    <w:rsid w:val="009979D2"/>
    <w:rsid w:val="009E243D"/>
    <w:rsid w:val="00A7375A"/>
    <w:rsid w:val="00A85E73"/>
    <w:rsid w:val="00B24C71"/>
    <w:rsid w:val="00B56AEC"/>
    <w:rsid w:val="00B6799F"/>
    <w:rsid w:val="00B9262E"/>
    <w:rsid w:val="00BA7C1C"/>
    <w:rsid w:val="00D12A57"/>
    <w:rsid w:val="00D167F3"/>
    <w:rsid w:val="00E1701E"/>
    <w:rsid w:val="04152EA1"/>
    <w:rsid w:val="055D0FDE"/>
    <w:rsid w:val="078D6E11"/>
    <w:rsid w:val="0839145A"/>
    <w:rsid w:val="098957C5"/>
    <w:rsid w:val="099C1FD5"/>
    <w:rsid w:val="0B362434"/>
    <w:rsid w:val="0B6078B9"/>
    <w:rsid w:val="0DBF5FED"/>
    <w:rsid w:val="0DF977A9"/>
    <w:rsid w:val="0E6E3B77"/>
    <w:rsid w:val="10180188"/>
    <w:rsid w:val="12640267"/>
    <w:rsid w:val="1380124C"/>
    <w:rsid w:val="139013E3"/>
    <w:rsid w:val="15F94546"/>
    <w:rsid w:val="172A128B"/>
    <w:rsid w:val="179E6E46"/>
    <w:rsid w:val="17F565E1"/>
    <w:rsid w:val="183D4FEE"/>
    <w:rsid w:val="1B70687D"/>
    <w:rsid w:val="1D9A7F8F"/>
    <w:rsid w:val="1F38650F"/>
    <w:rsid w:val="21A310E7"/>
    <w:rsid w:val="21FF51C9"/>
    <w:rsid w:val="26D76DA1"/>
    <w:rsid w:val="26F13902"/>
    <w:rsid w:val="27F46908"/>
    <w:rsid w:val="2849353B"/>
    <w:rsid w:val="28F66292"/>
    <w:rsid w:val="2B782871"/>
    <w:rsid w:val="2C067D54"/>
    <w:rsid w:val="2E3E72CB"/>
    <w:rsid w:val="2E8E5745"/>
    <w:rsid w:val="307E5300"/>
    <w:rsid w:val="341A5997"/>
    <w:rsid w:val="347952C5"/>
    <w:rsid w:val="36585674"/>
    <w:rsid w:val="36734EBD"/>
    <w:rsid w:val="367D5DC1"/>
    <w:rsid w:val="36C60C8B"/>
    <w:rsid w:val="37D61BCD"/>
    <w:rsid w:val="37E12371"/>
    <w:rsid w:val="38C82820"/>
    <w:rsid w:val="3A712BA9"/>
    <w:rsid w:val="3B3D724E"/>
    <w:rsid w:val="3D402D06"/>
    <w:rsid w:val="3EF84502"/>
    <w:rsid w:val="3F1E0224"/>
    <w:rsid w:val="40270B72"/>
    <w:rsid w:val="44731111"/>
    <w:rsid w:val="453A4720"/>
    <w:rsid w:val="49986762"/>
    <w:rsid w:val="4B137364"/>
    <w:rsid w:val="4D1D4D3B"/>
    <w:rsid w:val="4D9A3D6D"/>
    <w:rsid w:val="4DA13154"/>
    <w:rsid w:val="4E9F3916"/>
    <w:rsid w:val="4EF13E61"/>
    <w:rsid w:val="501257C8"/>
    <w:rsid w:val="504925C9"/>
    <w:rsid w:val="52C8137C"/>
    <w:rsid w:val="52F65877"/>
    <w:rsid w:val="530F10A1"/>
    <w:rsid w:val="53A7168A"/>
    <w:rsid w:val="53E6575E"/>
    <w:rsid w:val="566151C8"/>
    <w:rsid w:val="581337F6"/>
    <w:rsid w:val="582A3F3F"/>
    <w:rsid w:val="5862192B"/>
    <w:rsid w:val="58812173"/>
    <w:rsid w:val="59FA7B76"/>
    <w:rsid w:val="5AA91A93"/>
    <w:rsid w:val="5AB83A84"/>
    <w:rsid w:val="5AE01082"/>
    <w:rsid w:val="5C5C70EE"/>
    <w:rsid w:val="5C787499"/>
    <w:rsid w:val="5C7B757C"/>
    <w:rsid w:val="5D006504"/>
    <w:rsid w:val="603D7833"/>
    <w:rsid w:val="611C74CB"/>
    <w:rsid w:val="64BD5616"/>
    <w:rsid w:val="67780AC1"/>
    <w:rsid w:val="684B4F37"/>
    <w:rsid w:val="69231989"/>
    <w:rsid w:val="6ACA583A"/>
    <w:rsid w:val="6B3A6D6C"/>
    <w:rsid w:val="6BB40298"/>
    <w:rsid w:val="6C277FA2"/>
    <w:rsid w:val="6D2E4764"/>
    <w:rsid w:val="6DE87B09"/>
    <w:rsid w:val="6F0162A9"/>
    <w:rsid w:val="6F240221"/>
    <w:rsid w:val="6FFC4AE1"/>
    <w:rsid w:val="7292446A"/>
    <w:rsid w:val="72DB375E"/>
    <w:rsid w:val="76637B14"/>
    <w:rsid w:val="781E22D7"/>
    <w:rsid w:val="78F3712E"/>
    <w:rsid w:val="79FF2CA1"/>
    <w:rsid w:val="7A4D7B8C"/>
    <w:rsid w:val="7AE75F94"/>
    <w:rsid w:val="7BD07311"/>
    <w:rsid w:val="7CAB2FF1"/>
    <w:rsid w:val="7D2E46CD"/>
    <w:rsid w:val="7E064CEB"/>
    <w:rsid w:val="7EF40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rPr>
      <w:rFonts w:ascii="Calibri" w:hAnsi="Calibri" w:eastAsia="宋体"/>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jc w:val="left"/>
    </w:pPr>
    <w:rPr>
      <w:rFonts w:cs="Times New Roman"/>
      <w:kern w:val="0"/>
      <w:sz w:val="24"/>
    </w:rPr>
  </w:style>
  <w:style w:type="table" w:styleId="9">
    <w:name w:val="Table Grid"/>
    <w:basedOn w:val="8"/>
    <w:qFormat/>
    <w:uiPriority w:val="3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333333"/>
      <w:u w:val="none"/>
    </w:rPr>
  </w:style>
  <w:style w:type="character" w:styleId="13">
    <w:name w:val="HTML Definition"/>
    <w:basedOn w:val="10"/>
    <w:qFormat/>
    <w:uiPriority w:val="0"/>
  </w:style>
  <w:style w:type="character" w:styleId="14">
    <w:name w:val="HTML Acronym"/>
    <w:basedOn w:val="10"/>
    <w:qFormat/>
    <w:uiPriority w:val="0"/>
  </w:style>
  <w:style w:type="character" w:styleId="15">
    <w:name w:val="HTML Variable"/>
    <w:basedOn w:val="10"/>
    <w:qFormat/>
    <w:uiPriority w:val="0"/>
  </w:style>
  <w:style w:type="character" w:styleId="16">
    <w:name w:val="Hyperlink"/>
    <w:basedOn w:val="10"/>
    <w:qFormat/>
    <w:uiPriority w:val="0"/>
    <w:rPr>
      <w:color w:val="333333"/>
      <w:u w:val="none"/>
    </w:rPr>
  </w:style>
  <w:style w:type="character" w:styleId="17">
    <w:name w:val="HTML Code"/>
    <w:basedOn w:val="10"/>
    <w:qFormat/>
    <w:uiPriority w:val="0"/>
    <w:rPr>
      <w:rFonts w:ascii="Courier New" w:hAnsi="Courier New"/>
      <w:sz w:val="20"/>
    </w:rPr>
  </w:style>
  <w:style w:type="character" w:styleId="18">
    <w:name w:val="HTML Cite"/>
    <w:basedOn w:val="10"/>
    <w:qFormat/>
    <w:uiPriority w:val="0"/>
  </w:style>
  <w:style w:type="character" w:customStyle="1" w:styleId="19">
    <w:name w:val="批注文字 字符"/>
    <w:link w:val="4"/>
    <w:qFormat/>
    <w:uiPriority w:val="0"/>
    <w:rPr>
      <w:rFonts w:ascii="Calibri" w:hAnsi="Calibri" w:eastAsia="宋体"/>
      <w:kern w:val="2"/>
      <w:sz w:val="32"/>
      <w:szCs w:val="24"/>
    </w:rPr>
  </w:style>
  <w:style w:type="paragraph" w:customStyle="1" w:styleId="20">
    <w:name w:val="_Style 18"/>
    <w:basedOn w:val="1"/>
    <w:next w:val="1"/>
    <w:qFormat/>
    <w:uiPriority w:val="0"/>
    <w:pPr>
      <w:pBdr>
        <w:bottom w:val="single" w:color="auto" w:sz="6" w:space="1"/>
      </w:pBdr>
      <w:jc w:val="center"/>
    </w:pPr>
    <w:rPr>
      <w:rFonts w:ascii="Arial" w:eastAsia="宋体"/>
      <w:vanish/>
      <w:sz w:val="16"/>
    </w:rPr>
  </w:style>
  <w:style w:type="paragraph" w:customStyle="1" w:styleId="21">
    <w:name w:val="_Style 1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2698</Words>
  <Characters>3010</Characters>
  <Lines>38</Lines>
  <Paragraphs>10</Paragraphs>
  <TotalTime>5</TotalTime>
  <ScaleCrop>false</ScaleCrop>
  <LinksUpToDate>false</LinksUpToDate>
  <CharactersWithSpaces>3010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2021-10-10T03:23:00Z</dcterms:created>
  <dc:creator>必成</dc:creator>
  <cp:lastModifiedBy>木子王册册</cp:lastModifiedBy>
  <dcterms:modified xsi:type="dcterms:W3CDTF">2024-12-05T03:17:44Z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E2BB9EBE51054CD0A7792ABBBB01F551_13</vt:lpwstr>
  </property>
</Properties>
</file>