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after="0" w:line="360" w:lineRule="auto"/>
        <w:ind w:firstLine="640" w:firstLineChars="200"/>
        <w:rPr>
          <w:rFonts w:ascii="黑体" w:hAnsi="黑体" w:eastAsia="黑体" w:cs="黑体"/>
          <w:b w:val="0"/>
          <w:bCs w:val="0"/>
          <w:color w:val="auto"/>
          <w:kern w:val="0"/>
          <w:highlight w:val="none"/>
        </w:rPr>
      </w:pPr>
      <w:bookmarkStart w:id="10" w:name="_GoBack"/>
      <w:bookmarkEnd w:id="10"/>
      <w:bookmarkStart w:id="0" w:name="_Toc529740759"/>
      <w:bookmarkStart w:id="1" w:name="_Toc8386"/>
      <w:bookmarkStart w:id="2" w:name="_Toc23059"/>
      <w:bookmarkStart w:id="3" w:name="_Toc599"/>
      <w:bookmarkStart w:id="4" w:name="_Toc17549359"/>
      <w:bookmarkStart w:id="5" w:name="_Toc5862"/>
      <w:r>
        <w:rPr>
          <w:rFonts w:ascii="黑体" w:hAnsi="黑体" w:eastAsia="黑体" w:cs="黑体"/>
          <w:b w:val="0"/>
          <w:bCs w:val="0"/>
          <w:color w:val="auto"/>
          <w:kern w:val="0"/>
          <w:highlight w:val="none"/>
        </w:rPr>
        <w:t>2-1</w:t>
      </w:r>
      <w:bookmarkEnd w:id="0"/>
      <w:bookmarkEnd w:id="1"/>
      <w:r>
        <w:rPr>
          <w:rFonts w:hint="eastAsia" w:ascii="黑体" w:hAnsi="黑体" w:eastAsia="黑体" w:cs="黑体"/>
          <w:b w:val="0"/>
          <w:bCs w:val="0"/>
          <w:color w:val="auto"/>
          <w:kern w:val="0"/>
          <w:highlight w:val="none"/>
        </w:rPr>
        <w:t>大规模在线开放课程（</w:t>
      </w:r>
      <w:r>
        <w:rPr>
          <w:rFonts w:ascii="黑体" w:hAnsi="黑体" w:eastAsia="黑体" w:cs="黑体"/>
          <w:b w:val="0"/>
          <w:bCs w:val="0"/>
          <w:color w:val="auto"/>
          <w:kern w:val="0"/>
          <w:highlight w:val="none"/>
        </w:rPr>
        <w:t>MOOC</w:t>
      </w:r>
      <w:r>
        <w:rPr>
          <w:rFonts w:hint="eastAsia" w:ascii="黑体" w:hAnsi="黑体" w:eastAsia="黑体" w:cs="黑体"/>
          <w:b w:val="0"/>
          <w:bCs w:val="0"/>
          <w:color w:val="auto"/>
          <w:kern w:val="0"/>
          <w:highlight w:val="none"/>
        </w:rPr>
        <w:t>）示范项目</w:t>
      </w:r>
      <w:bookmarkEnd w:id="2"/>
      <w:bookmarkEnd w:id="3"/>
      <w:bookmarkEnd w:id="4"/>
      <w:bookmarkEnd w:id="5"/>
    </w:p>
    <w:p>
      <w:pPr>
        <w:widowControl/>
        <w:spacing w:line="440" w:lineRule="exact"/>
        <w:ind w:firstLine="480"/>
        <w:jc w:val="left"/>
        <w:rPr>
          <w:rFonts w:hint="eastAsia" w:ascii="黑体" w:hAnsi="黑体" w:eastAsia="黑体" w:cs="黑体"/>
          <w:color w:val="auto"/>
          <w:kern w:val="0"/>
          <w:szCs w:val="36"/>
          <w:highlight w:val="none"/>
        </w:rPr>
      </w:pPr>
      <w:r>
        <w:rPr>
          <w:rFonts w:hint="eastAsia" w:ascii="黑体" w:hAnsi="黑体" w:eastAsia="黑体" w:cs="黑体"/>
          <w:color w:val="auto"/>
          <w:kern w:val="0"/>
          <w:sz w:val="28"/>
          <w:szCs w:val="32"/>
          <w:highlight w:val="none"/>
        </w:rPr>
        <w:t xml:space="preserve"> </w:t>
      </w:r>
      <w:r>
        <w:rPr>
          <w:rFonts w:hint="eastAsia" w:ascii="黑体" w:hAnsi="黑体" w:eastAsia="黑体" w:cs="黑体"/>
          <w:color w:val="auto"/>
          <w:kern w:val="0"/>
          <w:szCs w:val="36"/>
          <w:highlight w:val="none"/>
        </w:rPr>
        <w:t>一、建设目标</w:t>
      </w:r>
      <w:bookmarkStart w:id="6" w:name="_Toc325707430"/>
      <w:bookmarkStart w:id="7" w:name="_Toc325877619"/>
      <w:bookmarkStart w:id="8" w:name="_Toc325877152"/>
      <w:bookmarkStart w:id="9" w:name="_Toc325707304"/>
    </w:p>
    <w:p>
      <w:pPr>
        <w:widowControl/>
        <w:spacing w:line="440" w:lineRule="exact"/>
        <w:ind w:firstLine="640" w:firstLineChars="200"/>
        <w:jc w:val="left"/>
        <w:rPr>
          <w:rFonts w:hint="eastAsia" w:ascii="方正仿宋_GBK" w:hAnsi="方正仿宋_GBK" w:cs="方正仿宋_GBK"/>
          <w:color w:val="auto"/>
          <w:kern w:val="0"/>
          <w:szCs w:val="36"/>
          <w:highlight w:val="none"/>
        </w:rPr>
      </w:pPr>
      <w:r>
        <w:rPr>
          <w:rFonts w:hint="eastAsia" w:ascii="方正仿宋_GBK" w:hAnsi="方正仿宋_GBK" w:cs="方正仿宋_GBK"/>
          <w:color w:val="auto"/>
          <w:kern w:val="0"/>
          <w:szCs w:val="36"/>
          <w:highlight w:val="none"/>
        </w:rPr>
        <w:t>通过互联网技术与应用的云端开放式课程教育平台，运用信息技术手段，拓展教学时空、丰富教学内容、共享教学资源、创新教学活动、变革教学手段、改进教学方法、更新教育理念、提高教育质量。</w:t>
      </w:r>
    </w:p>
    <w:p>
      <w:pPr>
        <w:widowControl/>
        <w:spacing w:line="440" w:lineRule="exact"/>
        <w:ind w:firstLine="480"/>
        <w:jc w:val="left"/>
        <w:rPr>
          <w:rFonts w:hint="eastAsia" w:ascii="黑体" w:hAnsi="黑体" w:eastAsia="黑体" w:cs="黑体"/>
          <w:color w:val="auto"/>
          <w:kern w:val="0"/>
          <w:szCs w:val="36"/>
          <w:highlight w:val="none"/>
        </w:rPr>
      </w:pPr>
      <w:r>
        <w:rPr>
          <w:rFonts w:hint="eastAsia" w:ascii="黑体" w:hAnsi="黑体" w:eastAsia="黑体" w:cs="黑体"/>
          <w:color w:val="auto"/>
          <w:kern w:val="0"/>
          <w:szCs w:val="36"/>
          <w:highlight w:val="none"/>
        </w:rPr>
        <w:t>二、建设内容</w:t>
      </w:r>
      <w:bookmarkEnd w:id="6"/>
      <w:bookmarkEnd w:id="7"/>
      <w:bookmarkEnd w:id="8"/>
      <w:bookmarkEnd w:id="9"/>
    </w:p>
    <w:p>
      <w:pPr>
        <w:widowControl/>
        <w:spacing w:line="440" w:lineRule="exact"/>
        <w:ind w:firstLine="480"/>
        <w:jc w:val="left"/>
        <w:rPr>
          <w:rFonts w:hint="eastAsia" w:ascii="方正仿宋_GBK" w:hAnsi="方正仿宋_GBK" w:cs="方正仿宋_GBK"/>
          <w:color w:val="auto"/>
          <w:kern w:val="0"/>
          <w:szCs w:val="36"/>
          <w:highlight w:val="none"/>
        </w:rPr>
      </w:pPr>
      <w:r>
        <w:rPr>
          <w:rFonts w:hint="eastAsia" w:ascii="方正仿宋_GBK" w:hAnsi="方正仿宋_GBK" w:cs="方正仿宋_GBK"/>
          <w:color w:val="auto"/>
          <w:kern w:val="0"/>
          <w:szCs w:val="36"/>
          <w:highlight w:val="none"/>
        </w:rPr>
        <w:t>1.资源：课程基于MOOC课程特性进行建设。需对现有课程教学设计、单元内容、知识结构、课程资源、评价体系等进行改革，以符合网络教学习惯。视频内容按问题组织知识点，以知识点进行资源建设。课程性质可根据实际情况选择，可多选。教学资源突出课程思政元素。</w:t>
      </w:r>
    </w:p>
    <w:p>
      <w:pPr>
        <w:widowControl/>
        <w:spacing w:line="440" w:lineRule="exact"/>
        <w:ind w:firstLine="480"/>
        <w:jc w:val="left"/>
        <w:rPr>
          <w:rFonts w:hint="eastAsia" w:ascii="方正仿宋_GBK" w:hAnsi="方正仿宋_GBK" w:cs="方正仿宋_GBK"/>
          <w:color w:val="auto"/>
          <w:kern w:val="0"/>
          <w:szCs w:val="36"/>
          <w:highlight w:val="none"/>
        </w:rPr>
      </w:pPr>
      <w:r>
        <w:rPr>
          <w:rFonts w:hint="eastAsia" w:ascii="方正仿宋_GBK" w:hAnsi="方正仿宋_GBK" w:cs="方正仿宋_GBK"/>
          <w:color w:val="auto"/>
          <w:kern w:val="0"/>
          <w:szCs w:val="36"/>
          <w:highlight w:val="none"/>
        </w:rPr>
        <w:t>2.平台：利用向高校和社会开放学习服务的公开课程平台。</w:t>
      </w:r>
    </w:p>
    <w:p>
      <w:pPr>
        <w:widowControl/>
        <w:spacing w:line="440" w:lineRule="exact"/>
        <w:ind w:firstLine="480"/>
        <w:jc w:val="left"/>
        <w:rPr>
          <w:rFonts w:hint="eastAsia" w:ascii="方正仿宋_GBK" w:hAnsi="方正仿宋_GBK" w:cs="方正仿宋_GBK"/>
          <w:color w:val="auto"/>
          <w:kern w:val="0"/>
          <w:szCs w:val="36"/>
          <w:highlight w:val="none"/>
        </w:rPr>
      </w:pPr>
      <w:r>
        <w:rPr>
          <w:rFonts w:hint="eastAsia" w:ascii="方正仿宋_GBK" w:hAnsi="方正仿宋_GBK" w:cs="方正仿宋_GBK"/>
          <w:color w:val="auto"/>
          <w:kern w:val="0"/>
          <w:szCs w:val="36"/>
          <w:highlight w:val="none"/>
        </w:rPr>
        <w:t xml:space="preserve">3.平台数据：申报课程可在多个平台开课，多个平台的有关数据可按平台分别提供“课程数据信息表”，反映课程应用情况和效果。 </w:t>
      </w:r>
    </w:p>
    <w:p>
      <w:pPr>
        <w:widowControl/>
        <w:spacing w:line="440" w:lineRule="exact"/>
        <w:ind w:firstLine="480"/>
        <w:jc w:val="left"/>
        <w:rPr>
          <w:rFonts w:hint="eastAsia" w:ascii="方正仿宋_GBK" w:hAnsi="方正仿宋_GBK" w:cs="方正仿宋_GBK"/>
          <w:color w:val="auto"/>
          <w:kern w:val="0"/>
          <w:szCs w:val="36"/>
          <w:highlight w:val="none"/>
        </w:rPr>
      </w:pPr>
      <w:r>
        <w:rPr>
          <w:rFonts w:hint="eastAsia" w:ascii="方正仿宋_GBK" w:hAnsi="方正仿宋_GBK" w:cs="方正仿宋_GBK"/>
          <w:color w:val="auto"/>
          <w:kern w:val="0"/>
          <w:szCs w:val="36"/>
          <w:highlight w:val="none"/>
        </w:rPr>
        <w:t>4.团队建设：团队应包括主讲、在线教学人员，既确保课程学术性又考虑技术性，充分做好网络教学设计与在线教学过程的互动交流。</w:t>
      </w:r>
    </w:p>
    <w:p>
      <w:pPr>
        <w:widowControl/>
        <w:spacing w:line="440" w:lineRule="exact"/>
        <w:ind w:firstLine="480"/>
        <w:jc w:val="left"/>
        <w:rPr>
          <w:rFonts w:hint="eastAsia" w:ascii="方正仿宋_GBK" w:hAnsi="方正仿宋_GBK" w:cs="方正仿宋_GBK"/>
          <w:color w:val="auto"/>
          <w:kern w:val="0"/>
          <w:szCs w:val="36"/>
          <w:highlight w:val="none"/>
        </w:rPr>
      </w:pPr>
      <w:r>
        <w:rPr>
          <w:rFonts w:hint="eastAsia" w:ascii="方正仿宋_GBK" w:hAnsi="方正仿宋_GBK" w:cs="方正仿宋_GBK"/>
          <w:color w:val="auto"/>
          <w:kern w:val="0"/>
          <w:szCs w:val="36"/>
          <w:highlight w:val="none"/>
        </w:rPr>
        <w:t>5.鼓励高职院校建设一批面向企业员工或社会人员培训的、具有本校优势与特色的专业课程，供社会人员使用。</w:t>
      </w:r>
    </w:p>
    <w:p>
      <w:pPr>
        <w:widowControl/>
        <w:spacing w:line="440" w:lineRule="exact"/>
        <w:ind w:firstLine="480"/>
        <w:jc w:val="left"/>
        <w:rPr>
          <w:rFonts w:hint="eastAsia" w:ascii="黑体" w:hAnsi="黑体" w:eastAsia="黑体" w:cs="黑体"/>
          <w:color w:val="auto"/>
          <w:kern w:val="0"/>
          <w:szCs w:val="36"/>
          <w:highlight w:val="none"/>
        </w:rPr>
      </w:pPr>
      <w:r>
        <w:rPr>
          <w:rFonts w:hint="eastAsia" w:ascii="黑体" w:hAnsi="黑体" w:eastAsia="黑体" w:cs="黑体"/>
          <w:color w:val="auto"/>
          <w:kern w:val="0"/>
          <w:szCs w:val="36"/>
          <w:highlight w:val="none"/>
        </w:rPr>
        <w:t>三、申报范围和条件</w:t>
      </w:r>
    </w:p>
    <w:p>
      <w:pPr>
        <w:widowControl/>
        <w:spacing w:line="440" w:lineRule="exact"/>
        <w:ind w:firstLine="640" w:firstLineChars="200"/>
        <w:jc w:val="left"/>
        <w:rPr>
          <w:rFonts w:hint="eastAsia" w:ascii="方正仿宋_GBK" w:hAnsi="方正仿宋_GBK" w:cs="方正仿宋_GBK"/>
          <w:color w:val="auto"/>
          <w:kern w:val="0"/>
          <w:szCs w:val="36"/>
          <w:highlight w:val="none"/>
        </w:rPr>
      </w:pPr>
      <w:r>
        <w:rPr>
          <w:rFonts w:hint="eastAsia" w:ascii="方正仿宋_GBK" w:hAnsi="方正仿宋_GBK" w:cs="方正仿宋_GBK"/>
          <w:color w:val="auto"/>
          <w:kern w:val="0"/>
          <w:szCs w:val="36"/>
          <w:highlight w:val="none"/>
        </w:rPr>
        <w:t>1.申报课程必须是高职高专课程。申报的课程要兼顾公共基础课、专业基础课与专业核心课。申报的课程原则上要求在高等学校已连续开设3年以上；课程负责人为本校专职教师，参加安徽省高等职业院校教学能力大赛获奖或具有副教授（含）以上职称或具有博士学位的教师。</w:t>
      </w:r>
    </w:p>
    <w:p>
      <w:pPr>
        <w:widowControl/>
        <w:spacing w:line="440" w:lineRule="exact"/>
        <w:ind w:firstLine="640" w:firstLineChars="200"/>
        <w:jc w:val="left"/>
        <w:rPr>
          <w:rFonts w:hint="eastAsia" w:ascii="方正仿宋_GBK" w:hAnsi="方正仿宋_GBK" w:cs="方正仿宋_GBK"/>
          <w:color w:val="auto"/>
          <w:kern w:val="0"/>
          <w:szCs w:val="36"/>
          <w:highlight w:val="none"/>
        </w:rPr>
      </w:pPr>
      <w:r>
        <w:rPr>
          <w:rFonts w:hint="eastAsia" w:ascii="方正仿宋_GBK" w:hAnsi="方正仿宋_GBK" w:cs="方正仿宋_GBK"/>
          <w:color w:val="auto"/>
          <w:kern w:val="0"/>
          <w:szCs w:val="36"/>
          <w:highlight w:val="none"/>
        </w:rPr>
        <w:t>2.依托网络教学平台，提供完整教学资源，包含课程简介、教师队伍、教学大纲、授课教案、作业习题、资料库等。</w:t>
      </w:r>
    </w:p>
    <w:p>
      <w:pPr>
        <w:widowControl/>
        <w:spacing w:line="440" w:lineRule="exact"/>
        <w:ind w:firstLine="640" w:firstLineChars="200"/>
        <w:jc w:val="left"/>
        <w:rPr>
          <w:rFonts w:hint="eastAsia" w:ascii="方正仿宋_GBK" w:hAnsi="方正仿宋_GBK" w:cs="方正仿宋_GBK"/>
          <w:color w:val="auto"/>
          <w:kern w:val="0"/>
          <w:szCs w:val="36"/>
          <w:highlight w:val="none"/>
        </w:rPr>
      </w:pPr>
      <w:r>
        <w:rPr>
          <w:rFonts w:hint="eastAsia" w:ascii="方正仿宋_GBK" w:hAnsi="方正仿宋_GBK" w:cs="方正仿宋_GBK"/>
          <w:color w:val="auto"/>
          <w:kern w:val="0"/>
          <w:szCs w:val="36"/>
          <w:highlight w:val="none"/>
        </w:rPr>
        <w:t>3.课程申报负责人要承诺申报材料的真实性，引用的课程资源要注明来源，上网内容不侵犯他人的知识产权。</w:t>
      </w:r>
    </w:p>
    <w:p>
      <w:pPr>
        <w:widowControl/>
        <w:spacing w:line="440" w:lineRule="exact"/>
        <w:ind w:firstLine="640" w:firstLineChars="200"/>
        <w:jc w:val="left"/>
        <w:rPr>
          <w:rFonts w:hint="eastAsia" w:ascii="方正仿宋_GBK" w:hAnsi="方正仿宋_GBK" w:cs="方正仿宋_GBK"/>
          <w:color w:val="auto"/>
          <w:kern w:val="0"/>
          <w:szCs w:val="36"/>
          <w:highlight w:val="none"/>
        </w:rPr>
      </w:pPr>
      <w:r>
        <w:rPr>
          <w:rFonts w:hint="eastAsia" w:ascii="方正仿宋_GBK" w:hAnsi="方正仿宋_GBK" w:cs="方正仿宋_GBK"/>
          <w:color w:val="auto"/>
          <w:kern w:val="0"/>
          <w:szCs w:val="36"/>
          <w:highlight w:val="none"/>
        </w:rPr>
        <w:t>4.为加大优质教学资源共享的力度，课程申报高校要为申报课程提供建设经费，申报课程被评为省级精品在线开放课程后，要保证课程网站畅通，在5年内免费开放课程资源,并不断更新上网内容。</w:t>
      </w:r>
    </w:p>
    <w:p>
      <w:pPr>
        <w:widowControl/>
        <w:spacing w:line="440" w:lineRule="exact"/>
        <w:ind w:firstLine="640" w:firstLineChars="200"/>
        <w:jc w:val="left"/>
        <w:rPr>
          <w:rFonts w:hint="eastAsia" w:ascii="方正仿宋_GBK" w:hAnsi="方正仿宋_GBK" w:cs="方正仿宋_GBK"/>
          <w:color w:val="auto"/>
          <w:kern w:val="0"/>
          <w:szCs w:val="36"/>
          <w:highlight w:val="none"/>
        </w:rPr>
      </w:pPr>
      <w:r>
        <w:rPr>
          <w:rFonts w:hint="eastAsia" w:ascii="方正仿宋_GBK" w:hAnsi="方正仿宋_GBK" w:cs="方正仿宋_GBK"/>
          <w:color w:val="auto"/>
          <w:kern w:val="0"/>
          <w:szCs w:val="36"/>
          <w:highlight w:val="none"/>
        </w:rPr>
        <w:t>5.为支持课程建设，学校要配套出台支持课程建设的相关文件，对教学团队运用在线课程教学的工作量认定等方面做出明确的认定方案。对没有配套政策支持的学校不予立项，申报时需要提供学校配套政策的相关文件。获得国家精品在线开放课程的团队，可以团队课程研发和应用于教育教学取得的成果申报当年省级教学成果奖，不占学校指标。</w:t>
      </w:r>
    </w:p>
    <w:p>
      <w:pPr>
        <w:widowControl/>
        <w:spacing w:line="440" w:lineRule="exact"/>
        <w:ind w:firstLine="480"/>
        <w:jc w:val="left"/>
        <w:rPr>
          <w:rFonts w:hint="eastAsia" w:ascii="黑体" w:hAnsi="黑体" w:eastAsia="黑体" w:cs="黑体"/>
          <w:color w:val="auto"/>
          <w:kern w:val="0"/>
          <w:szCs w:val="36"/>
          <w:highlight w:val="none"/>
        </w:rPr>
      </w:pPr>
      <w:r>
        <w:rPr>
          <w:rFonts w:hint="eastAsia" w:ascii="黑体" w:hAnsi="黑体" w:eastAsia="黑体" w:cs="黑体"/>
          <w:color w:val="auto"/>
          <w:kern w:val="0"/>
          <w:szCs w:val="36"/>
          <w:highlight w:val="none"/>
        </w:rPr>
        <w:t>四、课程建设及验收</w:t>
      </w:r>
    </w:p>
    <w:p>
      <w:pPr>
        <w:widowControl/>
        <w:spacing w:line="440" w:lineRule="exact"/>
        <w:ind w:firstLine="480"/>
        <w:jc w:val="left"/>
        <w:rPr>
          <w:rFonts w:hint="eastAsia" w:ascii="方正仿宋_GBK" w:hAnsi="方正仿宋_GBK" w:cs="方正仿宋_GBK"/>
          <w:color w:val="auto"/>
          <w:kern w:val="0"/>
          <w:sz w:val="36"/>
          <w:szCs w:val="36"/>
          <w:highlight w:val="none"/>
        </w:rPr>
      </w:pPr>
      <w:r>
        <w:rPr>
          <w:rFonts w:hint="eastAsia" w:ascii="方正仿宋_GBK" w:hAnsi="方正仿宋_GBK" w:cs="方正仿宋_GBK"/>
          <w:color w:val="auto"/>
          <w:kern w:val="0"/>
          <w:szCs w:val="36"/>
          <w:highlight w:val="none"/>
        </w:rPr>
        <w:t>1.课程建设达到安徽省精品在线开放课程标准（见表</w:t>
      </w:r>
      <w:r>
        <w:rPr>
          <w:rFonts w:ascii="方正仿宋_GBK" w:hAnsi="方正仿宋_GBK" w:cs="方正仿宋_GBK"/>
          <w:color w:val="auto"/>
          <w:kern w:val="0"/>
          <w:szCs w:val="36"/>
          <w:highlight w:val="none"/>
        </w:rPr>
        <w:t>3</w:t>
      </w:r>
      <w:r>
        <w:rPr>
          <w:rFonts w:hint="eastAsia" w:ascii="方正仿宋_GBK" w:hAnsi="方正仿宋_GBK" w:cs="方正仿宋_GBK"/>
          <w:color w:val="auto"/>
          <w:kern w:val="0"/>
          <w:szCs w:val="36"/>
          <w:highlight w:val="none"/>
        </w:rPr>
        <w:t>）。或达到国家级精品在线开放课程标准。</w:t>
      </w:r>
    </w:p>
    <w:p>
      <w:pPr>
        <w:widowControl/>
        <w:spacing w:line="500" w:lineRule="exact"/>
        <w:ind w:firstLine="480"/>
        <w:jc w:val="center"/>
        <w:rPr>
          <w:rFonts w:ascii="??_GB2312" w:hAnsi="宋体" w:eastAsia="Times New Roman" w:cs="宋体"/>
          <w:b/>
          <w:bCs/>
          <w:color w:val="auto"/>
          <w:kern w:val="0"/>
          <w:sz w:val="28"/>
          <w:szCs w:val="28"/>
          <w:highlight w:val="none"/>
        </w:rPr>
      </w:pPr>
      <w:r>
        <w:rPr>
          <w:rFonts w:hint="eastAsia" w:ascii="方正仿宋_GBK" w:hAnsi="方正仿宋_GBK" w:cs="方正仿宋_GBK"/>
          <w:b/>
          <w:bCs/>
          <w:color w:val="auto"/>
          <w:kern w:val="0"/>
          <w:sz w:val="28"/>
          <w:szCs w:val="28"/>
          <w:highlight w:val="none"/>
        </w:rPr>
        <w:t>表</w:t>
      </w:r>
      <w:r>
        <w:rPr>
          <w:rFonts w:ascii="方正仿宋_GBK" w:hAnsi="方正仿宋_GBK" w:cs="方正仿宋_GBK"/>
          <w:b/>
          <w:bCs/>
          <w:color w:val="auto"/>
          <w:kern w:val="0"/>
          <w:sz w:val="28"/>
          <w:szCs w:val="28"/>
          <w:highlight w:val="none"/>
        </w:rPr>
        <w:t>3</w:t>
      </w:r>
      <w:r>
        <w:rPr>
          <w:rFonts w:hint="eastAsia" w:ascii="方正仿宋_GBK" w:hAnsi="方正仿宋_GBK" w:cs="方正仿宋_GBK"/>
          <w:b/>
          <w:bCs/>
          <w:color w:val="auto"/>
          <w:kern w:val="0"/>
          <w:sz w:val="28"/>
          <w:szCs w:val="28"/>
          <w:highlight w:val="none"/>
        </w:rPr>
        <w:t xml:space="preserve">  安徽省精品在线开放课程结题验收标准（p</w:t>
      </w:r>
      <w:r>
        <w:rPr>
          <w:rFonts w:ascii="方正仿宋_GBK" w:hAnsi="方正仿宋_GBK" w:cs="方正仿宋_GBK"/>
          <w:b/>
          <w:bCs/>
          <w:color w:val="auto"/>
          <w:kern w:val="0"/>
          <w:sz w:val="28"/>
          <w:szCs w:val="28"/>
          <w:highlight w:val="none"/>
        </w:rPr>
        <w:t>9</w:t>
      </w:r>
      <w:r>
        <w:rPr>
          <w:rFonts w:hint="eastAsia" w:ascii="方正仿宋_GBK" w:hAnsi="方正仿宋_GBK" w:cs="方正仿宋_GBK"/>
          <w:b/>
          <w:bCs/>
          <w:color w:val="auto"/>
          <w:kern w:val="0"/>
          <w:sz w:val="28"/>
          <w:szCs w:val="28"/>
          <w:highlight w:val="none"/>
        </w:rPr>
        <w:t>）</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1"/>
        <w:gridCol w:w="1456"/>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261" w:type="dxa"/>
            <w:tcBorders>
              <w:top w:val="single" w:color="auto" w:sz="12" w:space="0"/>
              <w:left w:val="single" w:color="auto" w:sz="12" w:space="0"/>
              <w:bottom w:val="single" w:color="auto" w:sz="8" w:space="0"/>
            </w:tcBorders>
            <w:noWrap w:val="0"/>
            <w:vAlign w:val="center"/>
          </w:tcPr>
          <w:p>
            <w:pPr>
              <w:adjustRightInd w:val="0"/>
              <w:snapToGrid w:val="0"/>
              <w:jc w:val="center"/>
              <w:rPr>
                <w:b/>
                <w:color w:val="auto"/>
                <w:sz w:val="24"/>
                <w:highlight w:val="none"/>
              </w:rPr>
            </w:pPr>
            <w:r>
              <w:rPr>
                <w:rFonts w:hint="eastAsia"/>
                <w:b/>
                <w:color w:val="auto"/>
                <w:sz w:val="24"/>
                <w:highlight w:val="none"/>
              </w:rPr>
              <w:t>一级指标</w:t>
            </w:r>
          </w:p>
        </w:tc>
        <w:tc>
          <w:tcPr>
            <w:tcW w:w="1456" w:type="dxa"/>
            <w:tcBorders>
              <w:top w:val="single" w:color="auto" w:sz="12" w:space="0"/>
              <w:bottom w:val="single" w:color="auto" w:sz="8" w:space="0"/>
            </w:tcBorders>
            <w:noWrap w:val="0"/>
            <w:vAlign w:val="center"/>
          </w:tcPr>
          <w:p>
            <w:pPr>
              <w:adjustRightInd w:val="0"/>
              <w:snapToGrid w:val="0"/>
              <w:jc w:val="center"/>
              <w:rPr>
                <w:b/>
                <w:color w:val="auto"/>
                <w:sz w:val="24"/>
                <w:highlight w:val="none"/>
              </w:rPr>
            </w:pPr>
            <w:r>
              <w:rPr>
                <w:rFonts w:hint="eastAsia"/>
                <w:b/>
                <w:color w:val="auto"/>
                <w:sz w:val="24"/>
                <w:highlight w:val="none"/>
              </w:rPr>
              <w:t>二级指标</w:t>
            </w:r>
          </w:p>
        </w:tc>
        <w:tc>
          <w:tcPr>
            <w:tcW w:w="5611" w:type="dxa"/>
            <w:tcBorders>
              <w:top w:val="single" w:color="auto" w:sz="12" w:space="0"/>
              <w:bottom w:val="single" w:color="auto" w:sz="8" w:space="0"/>
              <w:right w:val="single" w:color="auto" w:sz="12" w:space="0"/>
            </w:tcBorders>
            <w:noWrap w:val="0"/>
            <w:vAlign w:val="center"/>
          </w:tcPr>
          <w:p>
            <w:pPr>
              <w:adjustRightInd w:val="0"/>
              <w:snapToGrid w:val="0"/>
              <w:jc w:val="center"/>
              <w:rPr>
                <w:b/>
                <w:color w:val="auto"/>
                <w:sz w:val="24"/>
                <w:highlight w:val="none"/>
              </w:rPr>
            </w:pPr>
            <w:r>
              <w:rPr>
                <w:rFonts w:hint="eastAsia"/>
                <w:b/>
                <w:color w:val="auto"/>
                <w:sz w:val="24"/>
                <w:highlight w:val="none"/>
              </w:rPr>
              <w:t>评价标准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8" w:hRule="atLeast"/>
          <w:jc w:val="center"/>
        </w:trPr>
        <w:tc>
          <w:tcPr>
            <w:tcW w:w="1261" w:type="dxa"/>
            <w:vMerge w:val="restart"/>
            <w:tcBorders>
              <w:top w:val="single" w:color="auto" w:sz="8" w:space="0"/>
              <w:left w:val="single" w:color="auto" w:sz="12" w:space="0"/>
            </w:tcBorders>
            <w:noWrap w:val="0"/>
            <w:vAlign w:val="center"/>
          </w:tcPr>
          <w:p>
            <w:pPr>
              <w:adjustRightInd w:val="0"/>
              <w:snapToGrid w:val="0"/>
              <w:rPr>
                <w:b/>
                <w:color w:val="auto"/>
                <w:highlight w:val="none"/>
              </w:rPr>
            </w:pPr>
            <w:r>
              <w:rPr>
                <w:rFonts w:hint="eastAsia"/>
                <w:b/>
                <w:color w:val="auto"/>
                <w:sz w:val="24"/>
                <w:highlight w:val="none"/>
              </w:rPr>
              <w:t>课程建设</w:t>
            </w:r>
          </w:p>
        </w:tc>
        <w:tc>
          <w:tcPr>
            <w:tcW w:w="1456" w:type="dxa"/>
            <w:tcBorders>
              <w:top w:val="single" w:color="auto" w:sz="8" w:space="0"/>
            </w:tcBorders>
            <w:noWrap w:val="0"/>
            <w:vAlign w:val="center"/>
          </w:tcPr>
          <w:p>
            <w:pPr>
              <w:adjustRightInd w:val="0"/>
              <w:snapToGrid w:val="0"/>
              <w:rPr>
                <w:b/>
                <w:color w:val="auto"/>
                <w:sz w:val="22"/>
                <w:highlight w:val="none"/>
              </w:rPr>
            </w:pPr>
            <w:r>
              <w:rPr>
                <w:rFonts w:hint="eastAsia"/>
                <w:b/>
                <w:color w:val="auto"/>
                <w:sz w:val="22"/>
                <w:highlight w:val="none"/>
              </w:rPr>
              <w:t>视频资源</w:t>
            </w:r>
          </w:p>
        </w:tc>
        <w:tc>
          <w:tcPr>
            <w:tcW w:w="5611" w:type="dxa"/>
            <w:tcBorders>
              <w:top w:val="single" w:color="auto" w:sz="8" w:space="0"/>
              <w:right w:val="single" w:color="auto" w:sz="12" w:space="0"/>
            </w:tcBorders>
            <w:noWrap w:val="0"/>
            <w:vAlign w:val="center"/>
          </w:tcPr>
          <w:p>
            <w:pPr>
              <w:adjustRightInd w:val="0"/>
              <w:snapToGrid w:val="0"/>
              <w:rPr>
                <w:rFonts w:hint="eastAsia" w:ascii="方正仿宋_GBK" w:hAnsi="方正仿宋_GBK" w:cs="方正仿宋_GBK"/>
                <w:color w:val="auto"/>
                <w:sz w:val="24"/>
                <w:highlight w:val="none"/>
              </w:rPr>
            </w:pPr>
            <w:r>
              <w:rPr>
                <w:rFonts w:hint="eastAsia" w:ascii="方正仿宋_GBK" w:hAnsi="方正仿宋_GBK" w:cs="方正仿宋_GBK"/>
                <w:color w:val="auto"/>
                <w:sz w:val="24"/>
                <w:highlight w:val="none"/>
              </w:rPr>
              <w:t>1.视频内容：课程视频内容包含课程教学大纲完整章节内容，教学内容科学、准确，弘扬社会主义核心价值观；</w:t>
            </w:r>
          </w:p>
          <w:p>
            <w:pPr>
              <w:adjustRightInd w:val="0"/>
              <w:snapToGrid w:val="0"/>
              <w:rPr>
                <w:rFonts w:hint="eastAsia" w:ascii="方正仿宋_GBK" w:hAnsi="方正仿宋_GBK" w:cs="方正仿宋_GBK"/>
                <w:color w:val="auto"/>
                <w:sz w:val="24"/>
                <w:highlight w:val="none"/>
              </w:rPr>
            </w:pPr>
            <w:r>
              <w:rPr>
                <w:rFonts w:hint="eastAsia" w:ascii="方正仿宋_GBK" w:hAnsi="方正仿宋_GBK" w:cs="方正仿宋_GBK"/>
                <w:color w:val="auto"/>
                <w:sz w:val="24"/>
                <w:highlight w:val="none"/>
              </w:rPr>
              <w:t>2.视频时长：总时长原则上≥480分钟；</w:t>
            </w:r>
          </w:p>
          <w:p>
            <w:pPr>
              <w:adjustRightInd w:val="0"/>
              <w:snapToGrid w:val="0"/>
              <w:rPr>
                <w:rFonts w:hint="eastAsia" w:ascii="方正仿宋_GBK" w:hAnsi="方正仿宋_GBK" w:cs="方正仿宋_GBK"/>
                <w:color w:val="auto"/>
                <w:sz w:val="24"/>
                <w:highlight w:val="none"/>
              </w:rPr>
            </w:pPr>
            <w:r>
              <w:rPr>
                <w:rFonts w:hint="eastAsia" w:ascii="方正仿宋_GBK" w:hAnsi="方正仿宋_GBK" w:cs="方正仿宋_GBK"/>
                <w:color w:val="auto"/>
                <w:sz w:val="24"/>
                <w:highlight w:val="none"/>
              </w:rPr>
              <w:t>3.技术规范：参照《安徽省MOOC示范项目课程建设规范及标准》执行；</w:t>
            </w:r>
          </w:p>
          <w:p>
            <w:pPr>
              <w:adjustRightInd w:val="0"/>
              <w:snapToGrid w:val="0"/>
              <w:rPr>
                <w:rFonts w:hint="eastAsia" w:ascii="方正仿宋_GBK" w:hAnsi="方正仿宋_GBK" w:cs="方正仿宋_GBK"/>
                <w:color w:val="auto"/>
                <w:sz w:val="24"/>
                <w:highlight w:val="none"/>
              </w:rPr>
            </w:pPr>
            <w:r>
              <w:rPr>
                <w:rFonts w:hint="eastAsia" w:ascii="方正仿宋_GBK" w:hAnsi="方正仿宋_GBK" w:cs="方正仿宋_GBK"/>
                <w:color w:val="auto"/>
                <w:sz w:val="24"/>
                <w:highlight w:val="none"/>
              </w:rPr>
              <w:t>4.知识产权：无侵权行为。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9" w:hRule="atLeast"/>
          <w:jc w:val="center"/>
        </w:trPr>
        <w:tc>
          <w:tcPr>
            <w:tcW w:w="1261" w:type="dxa"/>
            <w:vMerge w:val="continue"/>
            <w:tcBorders>
              <w:left w:val="single" w:color="auto" w:sz="12" w:space="0"/>
              <w:bottom w:val="single" w:color="auto" w:sz="8" w:space="0"/>
            </w:tcBorders>
            <w:noWrap w:val="0"/>
            <w:vAlign w:val="top"/>
          </w:tcPr>
          <w:p>
            <w:pPr>
              <w:adjustRightInd w:val="0"/>
              <w:snapToGrid w:val="0"/>
              <w:rPr>
                <w:b/>
                <w:color w:val="auto"/>
                <w:highlight w:val="none"/>
              </w:rPr>
            </w:pPr>
          </w:p>
        </w:tc>
        <w:tc>
          <w:tcPr>
            <w:tcW w:w="1456" w:type="dxa"/>
            <w:tcBorders>
              <w:bottom w:val="single" w:color="auto" w:sz="8" w:space="0"/>
            </w:tcBorders>
            <w:noWrap w:val="0"/>
            <w:vAlign w:val="center"/>
          </w:tcPr>
          <w:p>
            <w:pPr>
              <w:adjustRightInd w:val="0"/>
              <w:snapToGrid w:val="0"/>
              <w:rPr>
                <w:b/>
                <w:color w:val="auto"/>
                <w:sz w:val="22"/>
                <w:highlight w:val="none"/>
              </w:rPr>
            </w:pPr>
            <w:r>
              <w:rPr>
                <w:rFonts w:hint="eastAsia"/>
                <w:b/>
                <w:color w:val="auto"/>
                <w:sz w:val="22"/>
                <w:highlight w:val="none"/>
              </w:rPr>
              <w:t>非视频资源</w:t>
            </w:r>
          </w:p>
        </w:tc>
        <w:tc>
          <w:tcPr>
            <w:tcW w:w="5611" w:type="dxa"/>
            <w:tcBorders>
              <w:bottom w:val="single" w:color="auto" w:sz="8" w:space="0"/>
              <w:right w:val="single" w:color="auto" w:sz="12" w:space="0"/>
            </w:tcBorders>
            <w:noWrap w:val="0"/>
            <w:vAlign w:val="center"/>
          </w:tcPr>
          <w:p>
            <w:pPr>
              <w:adjustRightInd w:val="0"/>
              <w:snapToGrid w:val="0"/>
              <w:rPr>
                <w:rFonts w:hint="eastAsia" w:ascii="方正仿宋_GBK" w:hAnsi="方正仿宋_GBK" w:cs="方正仿宋_GBK"/>
                <w:color w:val="auto"/>
                <w:sz w:val="24"/>
                <w:highlight w:val="none"/>
              </w:rPr>
            </w:pPr>
            <w:r>
              <w:rPr>
                <w:rFonts w:hint="eastAsia" w:ascii="方正仿宋_GBK" w:hAnsi="方正仿宋_GBK" w:cs="方正仿宋_GBK"/>
                <w:color w:val="auto"/>
                <w:sz w:val="24"/>
                <w:highlight w:val="none"/>
              </w:rPr>
              <w:t>1.完备性：包含课程介绍、课程公告、教学大纲、课件、参考资料、讨论、测试和作业、考试等；</w:t>
            </w:r>
          </w:p>
          <w:p>
            <w:pPr>
              <w:adjustRightInd w:val="0"/>
              <w:snapToGrid w:val="0"/>
              <w:rPr>
                <w:rFonts w:hint="eastAsia" w:ascii="方正仿宋_GBK" w:hAnsi="方正仿宋_GBK" w:cs="方正仿宋_GBK"/>
                <w:color w:val="auto"/>
                <w:sz w:val="24"/>
                <w:highlight w:val="none"/>
              </w:rPr>
            </w:pPr>
            <w:r>
              <w:rPr>
                <w:rFonts w:hint="eastAsia" w:ascii="方正仿宋_GBK" w:hAnsi="方正仿宋_GBK" w:cs="方正仿宋_GBK"/>
                <w:color w:val="auto"/>
                <w:sz w:val="24"/>
                <w:highlight w:val="none"/>
              </w:rPr>
              <w:t>2.资源数量：非视频资源数量原则上≥50个/周期；</w:t>
            </w:r>
          </w:p>
          <w:p>
            <w:pPr>
              <w:adjustRightInd w:val="0"/>
              <w:snapToGrid w:val="0"/>
              <w:rPr>
                <w:rFonts w:hint="eastAsia" w:ascii="方正仿宋_GBK" w:hAnsi="方正仿宋_GBK" w:cs="方正仿宋_GBK"/>
                <w:color w:val="auto"/>
                <w:sz w:val="24"/>
                <w:highlight w:val="none"/>
              </w:rPr>
            </w:pPr>
            <w:r>
              <w:rPr>
                <w:rFonts w:hint="eastAsia" w:ascii="方正仿宋_GBK" w:hAnsi="方正仿宋_GBK" w:cs="方正仿宋_GBK"/>
                <w:color w:val="auto"/>
                <w:sz w:val="24"/>
                <w:highlight w:val="none"/>
              </w:rPr>
              <w:t>3.技术规范：参照《安徽省MOOC示范项目课程建设规范及标准》执行；</w:t>
            </w:r>
          </w:p>
          <w:p>
            <w:pPr>
              <w:adjustRightInd w:val="0"/>
              <w:snapToGrid w:val="0"/>
              <w:rPr>
                <w:rFonts w:hint="eastAsia" w:ascii="方正仿宋_GBK" w:hAnsi="方正仿宋_GBK" w:cs="方正仿宋_GBK"/>
                <w:color w:val="auto"/>
                <w:sz w:val="24"/>
                <w:highlight w:val="none"/>
              </w:rPr>
            </w:pPr>
            <w:r>
              <w:rPr>
                <w:rFonts w:hint="eastAsia" w:ascii="方正仿宋_GBK" w:hAnsi="方正仿宋_GBK" w:cs="方正仿宋_GBK"/>
                <w:color w:val="auto"/>
                <w:sz w:val="24"/>
                <w:highlight w:val="none"/>
              </w:rPr>
              <w:t>4.知识产权：无侵权行为。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jc w:val="center"/>
        </w:trPr>
        <w:tc>
          <w:tcPr>
            <w:tcW w:w="1261" w:type="dxa"/>
            <w:vMerge w:val="restart"/>
            <w:tcBorders>
              <w:top w:val="single" w:color="auto" w:sz="8" w:space="0"/>
              <w:left w:val="single" w:color="auto" w:sz="12" w:space="0"/>
            </w:tcBorders>
            <w:noWrap w:val="0"/>
            <w:vAlign w:val="center"/>
          </w:tcPr>
          <w:p>
            <w:pPr>
              <w:adjustRightInd w:val="0"/>
              <w:snapToGrid w:val="0"/>
              <w:rPr>
                <w:b/>
                <w:color w:val="auto"/>
                <w:sz w:val="24"/>
                <w:highlight w:val="none"/>
              </w:rPr>
            </w:pPr>
            <w:r>
              <w:rPr>
                <w:rFonts w:hint="eastAsia"/>
                <w:b/>
                <w:color w:val="auto"/>
                <w:sz w:val="24"/>
                <w:highlight w:val="none"/>
              </w:rPr>
              <w:t>课程应用</w:t>
            </w:r>
          </w:p>
        </w:tc>
        <w:tc>
          <w:tcPr>
            <w:tcW w:w="1456" w:type="dxa"/>
            <w:tcBorders>
              <w:top w:val="single" w:color="auto" w:sz="8" w:space="0"/>
            </w:tcBorders>
            <w:noWrap w:val="0"/>
            <w:vAlign w:val="center"/>
          </w:tcPr>
          <w:p>
            <w:pPr>
              <w:adjustRightInd w:val="0"/>
              <w:snapToGrid w:val="0"/>
              <w:rPr>
                <w:b/>
                <w:color w:val="auto"/>
                <w:sz w:val="22"/>
                <w:highlight w:val="none"/>
              </w:rPr>
            </w:pPr>
            <w:r>
              <w:rPr>
                <w:rFonts w:hint="eastAsia"/>
                <w:b/>
                <w:color w:val="auto"/>
                <w:sz w:val="22"/>
                <w:highlight w:val="none"/>
              </w:rPr>
              <w:t>运行平台及周期</w:t>
            </w:r>
          </w:p>
        </w:tc>
        <w:tc>
          <w:tcPr>
            <w:tcW w:w="5611" w:type="dxa"/>
            <w:tcBorders>
              <w:top w:val="single" w:color="auto" w:sz="8" w:space="0"/>
              <w:right w:val="single" w:color="auto" w:sz="12" w:space="0"/>
            </w:tcBorders>
            <w:noWrap w:val="0"/>
            <w:vAlign w:val="center"/>
          </w:tcPr>
          <w:p>
            <w:pPr>
              <w:adjustRightInd w:val="0"/>
              <w:snapToGrid w:val="0"/>
              <w:rPr>
                <w:rFonts w:hint="eastAsia" w:ascii="方正仿宋_GBK" w:hAnsi="方正仿宋_GBK" w:cs="方正仿宋_GBK"/>
                <w:color w:val="auto"/>
                <w:sz w:val="24"/>
                <w:highlight w:val="none"/>
              </w:rPr>
            </w:pPr>
            <w:r>
              <w:rPr>
                <w:rFonts w:hint="eastAsia" w:ascii="方正仿宋_GBK" w:hAnsi="方正仿宋_GBK" w:cs="方正仿宋_GBK"/>
                <w:color w:val="auto"/>
                <w:sz w:val="24"/>
                <w:highlight w:val="none"/>
              </w:rPr>
              <w:t>1.在国内外主流网络课程平台上线，并至少运行2个完整教学周期；</w:t>
            </w:r>
          </w:p>
          <w:p>
            <w:pPr>
              <w:adjustRightInd w:val="0"/>
              <w:snapToGrid w:val="0"/>
              <w:rPr>
                <w:rFonts w:hint="eastAsia" w:ascii="方正仿宋_GBK" w:hAnsi="方正仿宋_GBK" w:cs="方正仿宋_GBK"/>
                <w:color w:val="auto"/>
                <w:sz w:val="24"/>
                <w:highlight w:val="none"/>
              </w:rPr>
            </w:pPr>
            <w:r>
              <w:rPr>
                <w:rFonts w:hint="eastAsia" w:ascii="方正仿宋_GBK" w:hAnsi="方正仿宋_GBK" w:cs="方正仿宋_GBK"/>
                <w:color w:val="auto"/>
                <w:sz w:val="24"/>
                <w:highlight w:val="none"/>
              </w:rPr>
              <w:t>2.结题后的课程每学期应至少保证开设一个教学班。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8" w:hRule="atLeast"/>
          <w:jc w:val="center"/>
        </w:trPr>
        <w:tc>
          <w:tcPr>
            <w:tcW w:w="1261" w:type="dxa"/>
            <w:vMerge w:val="continue"/>
            <w:tcBorders>
              <w:left w:val="single" w:color="auto" w:sz="12" w:space="0"/>
            </w:tcBorders>
            <w:noWrap w:val="0"/>
            <w:vAlign w:val="top"/>
          </w:tcPr>
          <w:p>
            <w:pPr>
              <w:adjustRightInd w:val="0"/>
              <w:snapToGrid w:val="0"/>
              <w:rPr>
                <w:b/>
                <w:color w:val="auto"/>
                <w:highlight w:val="none"/>
              </w:rPr>
            </w:pPr>
          </w:p>
        </w:tc>
        <w:tc>
          <w:tcPr>
            <w:tcW w:w="1456" w:type="dxa"/>
            <w:noWrap w:val="0"/>
            <w:vAlign w:val="center"/>
          </w:tcPr>
          <w:p>
            <w:pPr>
              <w:adjustRightInd w:val="0"/>
              <w:snapToGrid w:val="0"/>
              <w:rPr>
                <w:b/>
                <w:color w:val="auto"/>
                <w:sz w:val="22"/>
                <w:highlight w:val="none"/>
              </w:rPr>
            </w:pPr>
            <w:r>
              <w:rPr>
                <w:rFonts w:hint="eastAsia"/>
                <w:b/>
                <w:color w:val="auto"/>
                <w:sz w:val="22"/>
                <w:highlight w:val="none"/>
              </w:rPr>
              <w:t>教学活动与指导</w:t>
            </w:r>
          </w:p>
        </w:tc>
        <w:tc>
          <w:tcPr>
            <w:tcW w:w="5611" w:type="dxa"/>
            <w:tcBorders>
              <w:right w:val="single" w:color="auto" w:sz="12" w:space="0"/>
            </w:tcBorders>
            <w:noWrap w:val="0"/>
            <w:vAlign w:val="center"/>
          </w:tcPr>
          <w:p>
            <w:pPr>
              <w:adjustRightInd w:val="0"/>
              <w:snapToGrid w:val="0"/>
              <w:rPr>
                <w:rFonts w:hint="eastAsia" w:ascii="方正仿宋_GBK" w:hAnsi="方正仿宋_GBK" w:cs="方正仿宋_GBK"/>
                <w:color w:val="auto"/>
                <w:sz w:val="24"/>
                <w:highlight w:val="none"/>
              </w:rPr>
            </w:pPr>
            <w:r>
              <w:rPr>
                <w:rFonts w:hint="eastAsia" w:ascii="方正仿宋_GBK" w:hAnsi="方正仿宋_GBK" w:cs="方正仿宋_GBK"/>
                <w:color w:val="auto"/>
                <w:sz w:val="24"/>
                <w:highlight w:val="none"/>
              </w:rPr>
              <w:t>基于网络课程平台，教师为学习者提供测验、作业、考试、答疑、讨论等教学组织活动，及时开展在线指导与测评。各项教学活动完整、有效，按计划实施，师生互动充分，能有效促进师生之间、学生之间进行资源共享、互动交流和自主式与协作式学习。</w:t>
            </w:r>
            <w:r>
              <w:rPr>
                <w:rFonts w:hint="eastAsia" w:ascii="方正仿宋_GBK" w:hAnsi="方正仿宋_GBK" w:cs="方正仿宋_GBK"/>
                <w:b/>
                <w:color w:val="auto"/>
                <w:sz w:val="24"/>
                <w:highlight w:val="none"/>
              </w:rPr>
              <w:t>一个教学周期</w:t>
            </w:r>
            <w:r>
              <w:rPr>
                <w:rFonts w:hint="eastAsia" w:ascii="方正仿宋_GBK" w:hAnsi="方正仿宋_GBK" w:cs="方正仿宋_GBK"/>
                <w:color w:val="auto"/>
                <w:sz w:val="24"/>
                <w:highlight w:val="none"/>
              </w:rPr>
              <w:t>内，课程数据原则上应满足如下要求：</w:t>
            </w:r>
          </w:p>
          <w:p>
            <w:pPr>
              <w:adjustRightInd w:val="0"/>
              <w:snapToGrid w:val="0"/>
              <w:rPr>
                <w:rFonts w:hint="eastAsia" w:ascii="方正仿宋_GBK" w:hAnsi="方正仿宋_GBK" w:cs="方正仿宋_GBK"/>
                <w:color w:val="auto"/>
                <w:sz w:val="24"/>
                <w:highlight w:val="none"/>
              </w:rPr>
            </w:pPr>
            <w:r>
              <w:rPr>
                <w:rFonts w:hint="eastAsia" w:ascii="方正仿宋_GBK" w:hAnsi="方正仿宋_GBK" w:cs="方正仿宋_GBK"/>
                <w:color w:val="auto"/>
                <w:sz w:val="24"/>
                <w:highlight w:val="none"/>
              </w:rPr>
              <w:t>1.</w:t>
            </w:r>
            <w:r>
              <w:rPr>
                <w:rFonts w:hint="eastAsia" w:ascii="方正仿宋_GBK" w:hAnsi="方正仿宋_GBK" w:cs="方正仿宋_GBK"/>
                <w:b/>
                <w:color w:val="auto"/>
                <w:sz w:val="24"/>
                <w:highlight w:val="none"/>
              </w:rPr>
              <w:t>课程公告：</w:t>
            </w:r>
            <w:r>
              <w:rPr>
                <w:rFonts w:hint="eastAsia" w:ascii="方正仿宋_GBK" w:hAnsi="方正仿宋_GBK" w:cs="方正仿宋_GBK"/>
                <w:color w:val="auto"/>
                <w:sz w:val="24"/>
                <w:highlight w:val="none"/>
              </w:rPr>
              <w:t>次数≥10次；</w:t>
            </w:r>
          </w:p>
          <w:p>
            <w:pPr>
              <w:adjustRightInd w:val="0"/>
              <w:snapToGrid w:val="0"/>
              <w:rPr>
                <w:rFonts w:hint="eastAsia" w:ascii="方正仿宋_GBK" w:hAnsi="方正仿宋_GBK" w:cs="方正仿宋_GBK"/>
                <w:color w:val="auto"/>
                <w:sz w:val="24"/>
                <w:highlight w:val="none"/>
              </w:rPr>
            </w:pPr>
            <w:r>
              <w:rPr>
                <w:rFonts w:hint="eastAsia" w:ascii="方正仿宋_GBK" w:hAnsi="方正仿宋_GBK" w:cs="方正仿宋_GBK"/>
                <w:color w:val="auto"/>
                <w:sz w:val="24"/>
                <w:highlight w:val="none"/>
              </w:rPr>
              <w:t>2.</w:t>
            </w:r>
            <w:r>
              <w:rPr>
                <w:rFonts w:hint="eastAsia" w:ascii="方正仿宋_GBK" w:hAnsi="方正仿宋_GBK" w:cs="方正仿宋_GBK"/>
                <w:b/>
                <w:color w:val="auto"/>
                <w:sz w:val="24"/>
                <w:highlight w:val="none"/>
              </w:rPr>
              <w:t>测验和作业</w:t>
            </w:r>
            <w:r>
              <w:rPr>
                <w:rFonts w:hint="eastAsia" w:ascii="方正仿宋_GBK" w:hAnsi="方正仿宋_GBK" w:cs="方正仿宋_GBK"/>
                <w:color w:val="auto"/>
                <w:sz w:val="24"/>
                <w:highlight w:val="none"/>
              </w:rPr>
              <w:t>：总次数≥50次；总参与人数≥1000人；</w:t>
            </w:r>
          </w:p>
          <w:p>
            <w:pPr>
              <w:adjustRightInd w:val="0"/>
              <w:snapToGrid w:val="0"/>
              <w:rPr>
                <w:rFonts w:hint="eastAsia" w:ascii="方正仿宋_GBK" w:hAnsi="方正仿宋_GBK" w:cs="方正仿宋_GBK"/>
                <w:color w:val="auto"/>
                <w:sz w:val="24"/>
                <w:highlight w:val="none"/>
              </w:rPr>
            </w:pPr>
            <w:r>
              <w:rPr>
                <w:rFonts w:hint="eastAsia" w:ascii="方正仿宋_GBK" w:hAnsi="方正仿宋_GBK" w:cs="方正仿宋_GBK"/>
                <w:color w:val="auto"/>
                <w:sz w:val="24"/>
                <w:highlight w:val="none"/>
              </w:rPr>
              <w:t>3.</w:t>
            </w:r>
            <w:r>
              <w:rPr>
                <w:rFonts w:hint="eastAsia" w:ascii="方正仿宋_GBK" w:hAnsi="方正仿宋_GBK" w:cs="方正仿宋_GBK"/>
                <w:b/>
                <w:color w:val="auto"/>
                <w:sz w:val="24"/>
                <w:highlight w:val="none"/>
              </w:rPr>
              <w:t>互动与讨论</w:t>
            </w:r>
            <w:r>
              <w:rPr>
                <w:rFonts w:hint="eastAsia" w:ascii="方正仿宋_GBK" w:hAnsi="方正仿宋_GBK" w:cs="方正仿宋_GBK"/>
                <w:color w:val="auto"/>
                <w:sz w:val="24"/>
                <w:highlight w:val="none"/>
              </w:rPr>
              <w:t>：教师发帖数≥30帖；发帖总数≥100帖；总参与人数≥400人；</w:t>
            </w:r>
          </w:p>
          <w:p>
            <w:pPr>
              <w:adjustRightInd w:val="0"/>
              <w:snapToGrid w:val="0"/>
              <w:rPr>
                <w:rFonts w:hint="eastAsia" w:ascii="方正仿宋_GBK" w:hAnsi="方正仿宋_GBK" w:cs="方正仿宋_GBK"/>
                <w:color w:val="auto"/>
                <w:sz w:val="24"/>
                <w:highlight w:val="none"/>
              </w:rPr>
            </w:pPr>
            <w:r>
              <w:rPr>
                <w:rFonts w:hint="eastAsia" w:ascii="方正仿宋_GBK" w:hAnsi="方正仿宋_GBK" w:cs="方正仿宋_GBK"/>
                <w:color w:val="auto"/>
                <w:sz w:val="24"/>
                <w:highlight w:val="none"/>
              </w:rPr>
              <w:t>4.</w:t>
            </w:r>
            <w:r>
              <w:rPr>
                <w:rFonts w:hint="eastAsia" w:ascii="方正仿宋_GBK" w:hAnsi="方正仿宋_GBK" w:cs="方正仿宋_GBK"/>
                <w:b/>
                <w:color w:val="auto"/>
                <w:sz w:val="24"/>
                <w:highlight w:val="none"/>
              </w:rPr>
              <w:t>考试</w:t>
            </w:r>
            <w:r>
              <w:rPr>
                <w:rFonts w:hint="eastAsia" w:ascii="方正仿宋_GBK" w:hAnsi="方正仿宋_GBK" w:cs="方正仿宋_GBK"/>
                <w:color w:val="auto"/>
                <w:sz w:val="24"/>
                <w:highlight w:val="none"/>
              </w:rPr>
              <w:t>：次数≥1次；总参与人数≥200人。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0" w:hRule="atLeast"/>
          <w:jc w:val="center"/>
        </w:trPr>
        <w:tc>
          <w:tcPr>
            <w:tcW w:w="1261" w:type="dxa"/>
            <w:vMerge w:val="continue"/>
            <w:tcBorders>
              <w:left w:val="single" w:color="auto" w:sz="12" w:space="0"/>
              <w:bottom w:val="single" w:color="auto" w:sz="12" w:space="0"/>
            </w:tcBorders>
            <w:noWrap w:val="0"/>
            <w:vAlign w:val="top"/>
          </w:tcPr>
          <w:p>
            <w:pPr>
              <w:adjustRightInd w:val="0"/>
              <w:snapToGrid w:val="0"/>
              <w:rPr>
                <w:b/>
                <w:color w:val="auto"/>
                <w:highlight w:val="none"/>
              </w:rPr>
            </w:pPr>
          </w:p>
        </w:tc>
        <w:tc>
          <w:tcPr>
            <w:tcW w:w="1456" w:type="dxa"/>
            <w:tcBorders>
              <w:bottom w:val="single" w:color="auto" w:sz="12" w:space="0"/>
            </w:tcBorders>
            <w:noWrap w:val="0"/>
            <w:vAlign w:val="center"/>
          </w:tcPr>
          <w:p>
            <w:pPr>
              <w:adjustRightInd w:val="0"/>
              <w:snapToGrid w:val="0"/>
              <w:rPr>
                <w:b/>
                <w:color w:val="auto"/>
                <w:sz w:val="22"/>
                <w:highlight w:val="none"/>
              </w:rPr>
            </w:pPr>
            <w:r>
              <w:rPr>
                <w:rFonts w:hint="eastAsia"/>
                <w:b/>
                <w:color w:val="auto"/>
                <w:sz w:val="22"/>
                <w:highlight w:val="none"/>
              </w:rPr>
              <w:t>教学效果与影响</w:t>
            </w:r>
          </w:p>
        </w:tc>
        <w:tc>
          <w:tcPr>
            <w:tcW w:w="5611" w:type="dxa"/>
            <w:tcBorders>
              <w:bottom w:val="single" w:color="auto" w:sz="12" w:space="0"/>
              <w:right w:val="single" w:color="auto" w:sz="12" w:space="0"/>
            </w:tcBorders>
            <w:noWrap w:val="0"/>
            <w:vAlign w:val="center"/>
          </w:tcPr>
          <w:p>
            <w:pPr>
              <w:adjustRightInd w:val="0"/>
              <w:snapToGrid w:val="0"/>
              <w:spacing w:line="280" w:lineRule="exact"/>
              <w:rPr>
                <w:rFonts w:hint="eastAsia" w:ascii="方正仿宋_GBK" w:hAnsi="方正仿宋_GBK" w:cs="方正仿宋_GBK"/>
                <w:color w:val="auto"/>
                <w:sz w:val="24"/>
                <w:highlight w:val="none"/>
              </w:rPr>
            </w:pPr>
            <w:r>
              <w:rPr>
                <w:rFonts w:hint="eastAsia" w:ascii="方正仿宋_GBK" w:hAnsi="方正仿宋_GBK" w:cs="方正仿宋_GBK"/>
                <w:color w:val="auto"/>
                <w:sz w:val="24"/>
                <w:highlight w:val="none"/>
              </w:rPr>
              <w:t>课程共享范围广泛，应用模式多样，线上线下应用结合效果较好，能切实提高教学质量，在同类课程中具有一定的影响力。教学效果与影响应满足如下要求：</w:t>
            </w:r>
          </w:p>
          <w:p>
            <w:pPr>
              <w:adjustRightInd w:val="0"/>
              <w:snapToGrid w:val="0"/>
              <w:spacing w:line="280" w:lineRule="exact"/>
              <w:rPr>
                <w:rFonts w:hint="eastAsia" w:ascii="方正仿宋_GBK" w:hAnsi="方正仿宋_GBK" w:cs="方正仿宋_GBK"/>
                <w:color w:val="auto"/>
                <w:sz w:val="24"/>
                <w:highlight w:val="none"/>
              </w:rPr>
            </w:pPr>
            <w:r>
              <w:rPr>
                <w:rFonts w:hint="eastAsia" w:ascii="方正仿宋_GBK" w:hAnsi="方正仿宋_GBK" w:cs="方正仿宋_GBK"/>
                <w:color w:val="auto"/>
                <w:sz w:val="24"/>
                <w:highlight w:val="none"/>
              </w:rPr>
              <w:t>1.原则上</w:t>
            </w:r>
            <w:r>
              <w:rPr>
                <w:rFonts w:hint="eastAsia" w:ascii="方正仿宋_GBK" w:hAnsi="方正仿宋_GBK" w:cs="方正仿宋_GBK"/>
                <w:b/>
                <w:color w:val="auto"/>
                <w:sz w:val="24"/>
                <w:highlight w:val="none"/>
              </w:rPr>
              <w:t>学习总人次</w:t>
            </w:r>
            <w:r>
              <w:rPr>
                <w:rFonts w:hint="eastAsia" w:ascii="方正仿宋_GBK" w:hAnsi="方正仿宋_GBK" w:cs="方正仿宋_GBK"/>
                <w:color w:val="auto"/>
                <w:sz w:val="24"/>
                <w:highlight w:val="none"/>
              </w:rPr>
              <w:t>≥1000人（建设期内累加）；</w:t>
            </w:r>
          </w:p>
          <w:p>
            <w:pPr>
              <w:adjustRightInd w:val="0"/>
              <w:snapToGrid w:val="0"/>
              <w:spacing w:line="280" w:lineRule="exact"/>
              <w:rPr>
                <w:rFonts w:hint="eastAsia" w:ascii="方正仿宋_GBK" w:hAnsi="方正仿宋_GBK" w:cs="方正仿宋_GBK"/>
                <w:color w:val="auto"/>
                <w:sz w:val="24"/>
                <w:highlight w:val="none"/>
              </w:rPr>
            </w:pPr>
            <w:r>
              <w:rPr>
                <w:rFonts w:hint="eastAsia" w:ascii="方正仿宋_GBK" w:hAnsi="方正仿宋_GBK" w:cs="方正仿宋_GBK"/>
                <w:color w:val="auto"/>
                <w:sz w:val="24"/>
                <w:highlight w:val="none"/>
              </w:rPr>
              <w:t>2.课程应用模式多样，除在线学习外，还应用于翻转教学、SPOC教学等；</w:t>
            </w:r>
          </w:p>
          <w:p>
            <w:pPr>
              <w:adjustRightInd w:val="0"/>
              <w:snapToGrid w:val="0"/>
              <w:spacing w:line="280" w:lineRule="exact"/>
              <w:rPr>
                <w:rFonts w:hint="eastAsia" w:ascii="方正仿宋_GBK" w:hAnsi="方正仿宋_GBK" w:cs="方正仿宋_GBK"/>
                <w:color w:val="auto"/>
                <w:sz w:val="24"/>
                <w:highlight w:val="none"/>
              </w:rPr>
            </w:pPr>
            <w:r>
              <w:rPr>
                <w:rFonts w:hint="eastAsia" w:ascii="方正仿宋_GBK" w:hAnsi="方正仿宋_GBK" w:cs="方正仿宋_GBK"/>
                <w:color w:val="auto"/>
                <w:sz w:val="24"/>
                <w:highlight w:val="none"/>
              </w:rPr>
              <w:t>3.课程共享范围广，除社会学习者外，在别的高校也获得应用。</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altName w:val="微软雅黑"/>
    <w:panose1 w:val="03000509000000000000"/>
    <w:charset w:val="86"/>
    <w:family w:val="script"/>
    <w:pitch w:val="default"/>
    <w:sig w:usb0="00000000" w:usb1="00000000" w:usb2="00000000" w:usb3="00000000" w:csb0="00040000" w:csb1="00000000"/>
  </w:font>
  <w:font w:name="??_GB2312">
    <w:altName w:val="Segoe Print"/>
    <w:panose1 w:val="00000000000000000000"/>
    <w:charset w:val="00"/>
    <w:family w:val="auto"/>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6B40FF"/>
    <w:rsid w:val="0B6B40FF"/>
    <w:rsid w:val="63036F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方正仿宋_GBK" w:cs="Times New Roman"/>
      <w:kern w:val="2"/>
      <w:sz w:val="32"/>
      <w:szCs w:val="24"/>
      <w:lang w:val="en-US" w:eastAsia="zh-CN" w:bidi="ar-SA"/>
    </w:rPr>
  </w:style>
  <w:style w:type="paragraph" w:styleId="2">
    <w:name w:val="heading 3"/>
    <w:basedOn w:val="1"/>
    <w:next w:val="1"/>
    <w:qFormat/>
    <w:uiPriority w:val="0"/>
    <w:pPr>
      <w:keepNext/>
      <w:keepLines/>
      <w:spacing w:before="260" w:after="260" w:line="416" w:lineRule="auto"/>
      <w:outlineLvl w:val="2"/>
    </w:pPr>
    <w:rPr>
      <w:b/>
      <w:bCs/>
      <w:sz w:val="32"/>
      <w:szCs w:val="32"/>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2020-04-20T05:34:00Z</dcterms:created>
  <dc:creator>QH</dc:creator>
  <cp:lastModifiedBy>QH</cp:lastModifiedBy>
  <dcterms:modified xsi:type="dcterms:W3CDTF">2020-04-20T05:41:58Z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