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方正仿宋_GBK" w:hAnsi="方正仿宋_GBK" w:eastAsia="方正黑体_GBK" w:cs="方正仿宋_GBK"/>
          <w:sz w:val="32"/>
          <w:szCs w:val="40"/>
          <w:lang w:val="en-US" w:eastAsia="zh-CN"/>
        </w:rPr>
      </w:pPr>
      <w:r>
        <w:rPr>
          <w:rFonts w:hint="eastAsia" w:ascii="方正黑体_GBK" w:hAnsi="方正黑体_GBK" w:eastAsia="方正黑体_GBK" w:cs="方正黑体_GBK"/>
          <w:sz w:val="32"/>
          <w:szCs w:val="40"/>
        </w:rPr>
        <w:t>安徽省高校自然科学重点/重大科研项目</w:t>
      </w:r>
      <w:r>
        <w:rPr>
          <w:rFonts w:hint="eastAsia" w:ascii="方正黑体_GBK" w:hAnsi="方正黑体_GBK" w:eastAsia="方正黑体_GBK" w:cs="方正黑体_GBK"/>
          <w:sz w:val="32"/>
          <w:szCs w:val="40"/>
          <w:lang w:val="en-US" w:eastAsia="zh-CN"/>
        </w:rPr>
        <w:t>申报要求</w:t>
      </w:r>
    </w:p>
    <w:p>
      <w:pPr>
        <w:ind w:firstLine="640" w:firstLineChars="200"/>
        <w:rPr>
          <w:rFonts w:hint="eastAsia" w:ascii="方正楷体_GBK" w:hAnsi="方正楷体_GBK" w:eastAsia="方正楷体_GBK" w:cs="方正楷体_GBK"/>
          <w:sz w:val="32"/>
          <w:szCs w:val="40"/>
        </w:rPr>
      </w:pPr>
      <w:r>
        <w:rPr>
          <w:rFonts w:hint="eastAsia" w:ascii="方正楷体_GBK" w:hAnsi="方正楷体_GBK" w:eastAsia="方正楷体_GBK" w:cs="方正楷体_GBK"/>
          <w:sz w:val="32"/>
          <w:szCs w:val="40"/>
        </w:rPr>
        <w:t>（一）建设目标</w:t>
      </w:r>
    </w:p>
    <w:p>
      <w:pPr>
        <w:ind w:firstLine="640" w:firstLineChars="200"/>
        <w:rPr>
          <w:rFonts w:hint="eastAsia" w:ascii="方正仿宋_GBK" w:hAnsi="方正仿宋_GBK" w:eastAsia="方正仿宋_GBK" w:cs="方正仿宋_GBK"/>
          <w:sz w:val="32"/>
          <w:szCs w:val="40"/>
        </w:rPr>
      </w:pPr>
      <w:r>
        <w:rPr>
          <w:rFonts w:hint="eastAsia" w:ascii="方正仿宋_GBK" w:hAnsi="方正仿宋_GBK" w:eastAsia="方正仿宋_GBK" w:cs="方正仿宋_GBK"/>
          <w:sz w:val="32"/>
          <w:szCs w:val="40"/>
        </w:rPr>
        <w:t>设立高校自然科学重点/重大科学项目，在于强化应用基础研究，实现前瞻性基础研究、引领性原创成果和关键共性技术、前沿引领技术、现代工程技术、颠覆性技术重大突破，加强安徽国家战略性新兴产业集群和重大战略性新兴产业领域的科研攻关。</w:t>
      </w:r>
    </w:p>
    <w:p>
      <w:pPr>
        <w:ind w:firstLine="640" w:firstLineChars="200"/>
        <w:rPr>
          <w:rFonts w:hint="eastAsia" w:ascii="方正楷体_GBK" w:hAnsi="方正楷体_GBK" w:eastAsia="方正楷体_GBK" w:cs="方正楷体_GBK"/>
          <w:sz w:val="32"/>
          <w:szCs w:val="40"/>
        </w:rPr>
      </w:pPr>
      <w:r>
        <w:rPr>
          <w:rFonts w:hint="eastAsia" w:ascii="方正楷体_GBK" w:hAnsi="方正楷体_GBK" w:eastAsia="方正楷体_GBK" w:cs="方正楷体_GBK"/>
          <w:sz w:val="32"/>
          <w:szCs w:val="40"/>
        </w:rPr>
        <w:t>（二）基本条件</w:t>
      </w:r>
    </w:p>
    <w:p>
      <w:pPr>
        <w:ind w:firstLine="640" w:firstLineChars="200"/>
        <w:rPr>
          <w:rFonts w:hint="eastAsia" w:ascii="方正仿宋_GBK" w:hAnsi="方正仿宋_GBK" w:eastAsia="方正仿宋_GBK" w:cs="方正仿宋_GBK"/>
          <w:sz w:val="32"/>
          <w:szCs w:val="40"/>
        </w:rPr>
      </w:pPr>
      <w:r>
        <w:rPr>
          <w:rFonts w:hint="eastAsia" w:ascii="方正仿宋_GBK" w:hAnsi="方正仿宋_GBK" w:eastAsia="方正仿宋_GBK" w:cs="方正仿宋_GBK"/>
          <w:sz w:val="32"/>
          <w:szCs w:val="40"/>
        </w:rPr>
        <w:t>社会信用记录良好，学风端正，具有履行项目负责人责任的能力，具有承担基础研究课题或其他从事基础研究的经历。</w:t>
      </w:r>
    </w:p>
    <w:p>
      <w:pPr>
        <w:ind w:firstLine="640" w:firstLineChars="200"/>
        <w:rPr>
          <w:rFonts w:hint="eastAsia" w:ascii="方正仿宋_GBK" w:hAnsi="方正仿宋_GBK" w:eastAsia="方正仿宋_GBK" w:cs="方正仿宋_GBK"/>
          <w:sz w:val="32"/>
          <w:szCs w:val="40"/>
        </w:rPr>
      </w:pPr>
      <w:r>
        <w:rPr>
          <w:rFonts w:hint="eastAsia" w:ascii="方正仿宋_GBK" w:hAnsi="方正仿宋_GBK" w:eastAsia="方正仿宋_GBK" w:cs="方正仿宋_GBK"/>
          <w:sz w:val="32"/>
          <w:szCs w:val="40"/>
        </w:rPr>
        <w:t>重大项目主要支持解决国家和区域经济社会发展的重大问题和有关学科发展前沿的应用研究。重点项目主要支持解决国家和区域经济社会发展中的应用及应用基础问题，由项目申请人结合学校办学定位以及个人兴趣爱好来设计。</w:t>
      </w:r>
    </w:p>
    <w:p>
      <w:pPr>
        <w:ind w:firstLine="640" w:firstLineChars="200"/>
        <w:rPr>
          <w:rFonts w:hint="eastAsia" w:ascii="方正楷体_GBK" w:hAnsi="方正楷体_GBK" w:eastAsia="方正楷体_GBK" w:cs="方正楷体_GBK"/>
          <w:sz w:val="32"/>
          <w:szCs w:val="40"/>
        </w:rPr>
      </w:pPr>
      <w:r>
        <w:rPr>
          <w:rFonts w:hint="eastAsia" w:ascii="方正楷体_GBK" w:hAnsi="方正楷体_GBK" w:eastAsia="方正楷体_GBK" w:cs="方正楷体_GBK"/>
          <w:sz w:val="32"/>
          <w:szCs w:val="40"/>
        </w:rPr>
        <w:t>（三）立项范围、申报与评审</w:t>
      </w:r>
    </w:p>
    <w:p>
      <w:pPr>
        <w:ind w:firstLine="640" w:firstLineChars="200"/>
        <w:rPr>
          <w:rFonts w:hint="eastAsia" w:ascii="方正仿宋_GBK" w:hAnsi="方正仿宋_GBK" w:eastAsia="方正仿宋_GBK" w:cs="方正仿宋_GBK"/>
          <w:sz w:val="32"/>
          <w:szCs w:val="40"/>
        </w:rPr>
      </w:pPr>
      <w:r>
        <w:rPr>
          <w:rFonts w:hint="eastAsia" w:ascii="方正仿宋_GBK" w:hAnsi="方正仿宋_GBK" w:eastAsia="方正仿宋_GBK" w:cs="方正仿宋_GBK"/>
          <w:sz w:val="32"/>
          <w:szCs w:val="40"/>
        </w:rPr>
        <w:t>1.重点/重大科学项目的立项范围为全省普通高等学校。高校根据自身发展需要和实际状况，确定重点研究领域和遴选条件，并根据科研现状和往年教育厅科研项目立项和实施情况，科学合理确定项目总数，其中4</w:t>
      </w:r>
      <w:r>
        <w:rPr>
          <w:rFonts w:ascii="方正仿宋_GBK" w:hAnsi="方正仿宋_GBK" w:eastAsia="方正仿宋_GBK" w:cs="方正仿宋_GBK"/>
          <w:sz w:val="32"/>
          <w:szCs w:val="40"/>
        </w:rPr>
        <w:t>0</w:t>
      </w:r>
      <w:r>
        <w:rPr>
          <w:rFonts w:hint="eastAsia" w:ascii="方正仿宋_GBK" w:hAnsi="方正仿宋_GBK" w:eastAsia="方正仿宋_GBK" w:cs="方正仿宋_GBK"/>
          <w:sz w:val="32"/>
          <w:szCs w:val="40"/>
        </w:rPr>
        <w:t>周岁以下的项目承担人比例不低于7</w:t>
      </w:r>
      <w:r>
        <w:rPr>
          <w:rFonts w:ascii="方正仿宋_GBK" w:hAnsi="方正仿宋_GBK" w:eastAsia="方正仿宋_GBK" w:cs="方正仿宋_GBK"/>
          <w:sz w:val="32"/>
          <w:szCs w:val="40"/>
        </w:rPr>
        <w:t>0</w:t>
      </w:r>
      <w:r>
        <w:rPr>
          <w:rFonts w:hint="eastAsia" w:ascii="方正仿宋_GBK" w:hAnsi="方正仿宋_GBK" w:eastAsia="方正仿宋_GBK" w:cs="方正仿宋_GBK"/>
          <w:sz w:val="32"/>
          <w:szCs w:val="40"/>
        </w:rPr>
        <w:t>%。</w:t>
      </w:r>
    </w:p>
    <w:p>
      <w:pPr>
        <w:ind w:firstLine="640" w:firstLineChars="200"/>
        <w:rPr>
          <w:rFonts w:hint="eastAsia" w:ascii="方正仿宋_GBK" w:hAnsi="方正仿宋_GBK" w:eastAsia="方正仿宋_GBK" w:cs="方正仿宋_GBK"/>
          <w:sz w:val="32"/>
          <w:szCs w:val="40"/>
        </w:rPr>
      </w:pPr>
      <w:r>
        <w:rPr>
          <w:rFonts w:hint="eastAsia" w:ascii="方正仿宋_GBK" w:hAnsi="方正仿宋_GBK" w:eastAsia="方正仿宋_GBK" w:cs="方正仿宋_GBK"/>
          <w:sz w:val="32"/>
          <w:szCs w:val="40"/>
        </w:rPr>
        <w:t>2.高校填写《安徽省省高等学校自然科学重点/重大科研项目申请书》，连同高等学校年度科研计划一并上报。</w:t>
      </w:r>
    </w:p>
    <w:p>
      <w:pPr>
        <w:ind w:firstLine="640" w:firstLineChars="200"/>
        <w:rPr>
          <w:rFonts w:hint="eastAsia" w:ascii="方正仿宋_GBK" w:hAnsi="方正仿宋_GBK" w:eastAsia="方正仿宋_GBK" w:cs="方正仿宋_GBK"/>
          <w:sz w:val="32"/>
          <w:szCs w:val="40"/>
        </w:rPr>
      </w:pPr>
      <w:r>
        <w:rPr>
          <w:rFonts w:hint="eastAsia" w:ascii="方正仿宋_GBK" w:hAnsi="方正仿宋_GBK" w:eastAsia="方正仿宋_GBK" w:cs="方正仿宋_GBK"/>
          <w:sz w:val="32"/>
          <w:szCs w:val="40"/>
        </w:rPr>
        <w:t>3.省教育厅组织专家根据学校年度科研计划进行审核，对符合要求的，经公示后正式公布。</w:t>
      </w:r>
    </w:p>
    <w:p>
      <w:pPr>
        <w:ind w:firstLine="640" w:firstLineChars="200"/>
        <w:rPr>
          <w:rFonts w:hint="eastAsia" w:ascii="方正楷体_GBK" w:hAnsi="方正楷体_GBK" w:eastAsia="方正楷体_GBK" w:cs="方正楷体_GBK"/>
          <w:sz w:val="32"/>
          <w:szCs w:val="40"/>
        </w:rPr>
      </w:pPr>
      <w:r>
        <w:rPr>
          <w:rFonts w:hint="eastAsia" w:ascii="方正楷体_GBK" w:hAnsi="方正楷体_GBK" w:eastAsia="方正楷体_GBK" w:cs="方正楷体_GBK"/>
          <w:sz w:val="32"/>
          <w:szCs w:val="40"/>
        </w:rPr>
        <w:t>（四）支持措施与管理</w:t>
      </w:r>
    </w:p>
    <w:p>
      <w:pPr>
        <w:ind w:firstLine="640" w:firstLineChars="200"/>
        <w:rPr>
          <w:rFonts w:hint="eastAsia" w:ascii="方正仿宋_GBK" w:hAnsi="方正仿宋_GBK" w:eastAsia="方正仿宋_GBK" w:cs="方正仿宋_GBK"/>
          <w:sz w:val="32"/>
          <w:szCs w:val="40"/>
        </w:rPr>
      </w:pPr>
      <w:r>
        <w:rPr>
          <w:rFonts w:hint="eastAsia" w:ascii="方正仿宋_GBK" w:hAnsi="方正仿宋_GBK" w:eastAsia="方正仿宋_GBK" w:cs="方正仿宋_GBK"/>
          <w:sz w:val="32"/>
          <w:szCs w:val="40"/>
        </w:rPr>
        <w:t>1.各立项高校负责重点项目和重大项目的全过程管理，并按要求报省教育厅备案。项目研究周期一般不超过2年，按照“省立校助”的方式开展科学研究和科技创新活动，所在高校负责落实申请人开展科研创新活动所需要的研究经费，其中重点项目每项不少于10万元，重大项目每项不少于20万元资助标准，各高校应统筹安排，落实项目经费，可根据项目研究进展情况，分期拨付。</w:t>
      </w:r>
    </w:p>
    <w:p>
      <w:pPr>
        <w:ind w:firstLine="640" w:firstLineChars="200"/>
        <w:rPr>
          <w:rFonts w:hint="eastAsia" w:ascii="方正仿宋_GBK" w:hAnsi="方正仿宋_GBK" w:eastAsia="方正仿宋_GBK" w:cs="方正仿宋_GBK"/>
          <w:sz w:val="32"/>
          <w:szCs w:val="40"/>
        </w:rPr>
      </w:pPr>
      <w:r>
        <w:rPr>
          <w:rFonts w:hint="eastAsia" w:ascii="方正仿宋_GBK" w:hAnsi="方正仿宋_GBK" w:eastAsia="方正仿宋_GBK" w:cs="方正仿宋_GBK"/>
          <w:sz w:val="32"/>
          <w:szCs w:val="40"/>
        </w:rPr>
        <w:t>2.获立项重点/重大科学项目在接到批准立项通知后一个月内，由申请人填写《安徽省高校自然科学重点/重大科研项目计划任务书》，经所在高等学校学术委员会审核并签署意见后报省教育厅备案。</w:t>
      </w:r>
    </w:p>
    <w:p>
      <w:pPr>
        <w:ind w:firstLine="640" w:firstLineChars="200"/>
        <w:rPr>
          <w:rFonts w:hint="eastAsia" w:ascii="方正仿宋_GBK" w:hAnsi="方正仿宋_GBK" w:eastAsia="方正仿宋_GBK" w:cs="方正仿宋_GBK"/>
          <w:sz w:val="32"/>
          <w:szCs w:val="40"/>
        </w:rPr>
      </w:pPr>
      <w:r>
        <w:rPr>
          <w:rFonts w:hint="eastAsia" w:ascii="方正仿宋_GBK" w:hAnsi="方正仿宋_GBK" w:eastAsia="方正仿宋_GBK" w:cs="方正仿宋_GBK"/>
          <w:sz w:val="32"/>
          <w:szCs w:val="40"/>
        </w:rPr>
        <w:t>3.获立项项目应按年度由申请人填写《安徽省高校自然科学重点/重大科研项目工作年度进展报告》、《安徽省高校自然科学重点/重大科研项目结项报告》，于当年12月31日前，经专家论证和所在高等学校学术委员会审核并签署意见后报省教育厅备案。</w:t>
      </w:r>
    </w:p>
    <w:p>
      <w:pPr>
        <w:ind w:firstLine="640" w:firstLineChars="200"/>
      </w:pPr>
      <w:r>
        <w:rPr>
          <w:rFonts w:hint="eastAsia" w:ascii="方正仿宋_GBK" w:hAnsi="方正仿宋_GBK" w:eastAsia="方正仿宋_GBK" w:cs="方正仿宋_GBK"/>
          <w:sz w:val="32"/>
          <w:szCs w:val="40"/>
        </w:rPr>
        <w:t>4.在立项期内，所在高等学校要及时了解、掌握获支持的申请人的工作状态，协助解决研究中遇到的问题，营造良好的学术科研环境。</w:t>
      </w:r>
      <w:bookmarkStart w:id="0" w:name="_GoBack"/>
      <w:bookmarkEnd w:id="0"/>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2ZjQzZDQ0NjAyMzhhZWFkYzRhYTViNGFhYTc0N2UifQ=="/>
  </w:docVars>
  <w:rsids>
    <w:rsidRoot w:val="5A8C18A1"/>
    <w:rsid w:val="1C8555E0"/>
    <w:rsid w:val="5A8C1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1039</Words>
  <Characters>1053</Characters>
  <Lines>0</Lines>
  <Paragraphs>0</Paragraphs>
  <TotalTime>0</TotalTime>
  <ScaleCrop>false</ScaleCrop>
  <LinksUpToDate>false</LinksUpToDate>
  <CharactersWithSpaces>1053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2022-08-16T03:37:00Z</dcterms:created>
  <dc:creator>QH</dc:creator>
  <cp:lastModifiedBy>QH</cp:lastModifiedBy>
  <dcterms:modified xsi:type="dcterms:W3CDTF">2022-08-16T06:32:56Z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8BAC93ADBED743CF8A003D6ECB181768</vt:lpwstr>
  </property>
</Properties>
</file>